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BG</w:t>
      </w:r>
    </w:p>
    <w:p w14:paraId="24333E7A" w14:textId="068FF302" w:rsidR="008D696E" w:rsidRDefault="008D696E" w:rsidP="00A33695">
      <w:pPr>
        <w:jc w:val="center"/>
        <w:rPr>
          <w:rFonts w:ascii="Times New Roman" w:hAnsi="Times New Roman"/>
          <w:sz w:val="24"/>
        </w:rPr>
      </w:pPr>
      <w:r>
        <w:rPr>
          <w:rFonts w:ascii="Times New Roman" w:hAnsi="Times New Roman"/>
          <w:sz w:val="24"/>
        </w:rPr>
        <w:t>ПРИЛОЖЕНИЕ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„ПРИЛОЖЕНИЕ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УКАЗАНИЯ ЗА ДОКЛАДВАНЕТО НА ИЗИСКВАНЕТО ЗА К-ФАКТОРИТЕ ЗА РИСКОВЕ ЗА ПАЗАРА ВЪЗ ОСНОВА НА K-NPR</w:t>
      </w:r>
    </w:p>
    <w:p w14:paraId="3DEB94EC" w14:textId="77777777" w:rsidR="00783881" w:rsidRPr="00696301" w:rsidRDefault="002648B0" w:rsidP="00487A02">
      <w:pPr>
        <w:pStyle w:val="InstructionsText"/>
      </w:pPr>
      <w:r>
        <w:t>Съдържание</w:t>
      </w:r>
    </w:p>
    <w:p w14:paraId="22B31733" w14:textId="6D4B5FA9" w:rsidR="000E0EDE" w:rsidRDefault="00745369">
      <w:pPr>
        <w:pStyle w:val="TOC2"/>
        <w:rPr>
          <w:rFonts w:asciiTheme="minorHAnsi" w:eastAsiaTheme="minorEastAsia" w:hAnsiTheme="minorHAnsi" w:cstheme="minorBidi"/>
          <w:b w:val="0"/>
          <w:smallCaps w:val="0"/>
          <w:kern w:val="2"/>
          <w:sz w:val="24"/>
          <w:szCs w:val="24"/>
          <w:lang w:val="en-GB" w:eastAsia="en-GB"/>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895872" w:history="1">
        <w:r w:rsidR="000E0EDE" w:rsidRPr="00CF3E35">
          <w:rPr>
            <w:rStyle w:val="Hyperlink"/>
            <w:rFonts w:ascii="Times New Roman" w:hAnsi="Times New Roman"/>
          </w:rPr>
          <w:t>ЧАСТ I: ОБЩИ УКАЗАНИЯ</w:t>
        </w:r>
        <w:r w:rsidR="000E0EDE">
          <w:rPr>
            <w:webHidden/>
          </w:rPr>
          <w:tab/>
        </w:r>
        <w:r w:rsidR="000E0EDE">
          <w:rPr>
            <w:webHidden/>
          </w:rPr>
          <w:fldChar w:fldCharType="begin"/>
        </w:r>
        <w:r w:rsidR="000E0EDE">
          <w:rPr>
            <w:webHidden/>
          </w:rPr>
          <w:instrText xml:space="preserve"> PAGEREF _Toc210895872 \h </w:instrText>
        </w:r>
        <w:r w:rsidR="000E0EDE">
          <w:rPr>
            <w:webHidden/>
          </w:rPr>
        </w:r>
        <w:r w:rsidR="000E0EDE">
          <w:rPr>
            <w:webHidden/>
          </w:rPr>
          <w:fldChar w:fldCharType="separate"/>
        </w:r>
        <w:r w:rsidR="006677FB">
          <w:rPr>
            <w:webHidden/>
          </w:rPr>
          <w:t>2</w:t>
        </w:r>
        <w:r w:rsidR="000E0EDE">
          <w:rPr>
            <w:webHidden/>
          </w:rPr>
          <w:fldChar w:fldCharType="end"/>
        </w:r>
      </w:hyperlink>
    </w:p>
    <w:p w14:paraId="4B8DBF71" w14:textId="2AC395DF"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73" w:history="1">
        <w:r w:rsidRPr="00CF3E35">
          <w:rPr>
            <w:rStyle w:val="Hyperlink"/>
            <w:rFonts w:ascii="Times New Roman" w:hAnsi="Times New Roman"/>
          </w:rPr>
          <w:t>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УСТАНОВЕНИ ПРАКТИКИ</w:t>
        </w:r>
        <w:r>
          <w:rPr>
            <w:webHidden/>
          </w:rPr>
          <w:tab/>
        </w:r>
        <w:r>
          <w:rPr>
            <w:webHidden/>
          </w:rPr>
          <w:fldChar w:fldCharType="begin"/>
        </w:r>
        <w:r>
          <w:rPr>
            <w:webHidden/>
          </w:rPr>
          <w:instrText xml:space="preserve"> PAGEREF _Toc210895873 \h </w:instrText>
        </w:r>
        <w:r>
          <w:rPr>
            <w:webHidden/>
          </w:rPr>
        </w:r>
        <w:r>
          <w:rPr>
            <w:webHidden/>
          </w:rPr>
          <w:fldChar w:fldCharType="separate"/>
        </w:r>
        <w:r w:rsidR="006677FB">
          <w:rPr>
            <w:webHidden/>
          </w:rPr>
          <w:t>2</w:t>
        </w:r>
        <w:r>
          <w:rPr>
            <w:webHidden/>
          </w:rPr>
          <w:fldChar w:fldCharType="end"/>
        </w:r>
      </w:hyperlink>
    </w:p>
    <w:p w14:paraId="17F62992" w14:textId="3A19110B"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74" w:history="1">
        <w:r w:rsidRPr="00CF3E35">
          <w:rPr>
            <w:rStyle w:val="Hyperlink"/>
            <w:rFonts w:ascii="Times New Roman" w:hAnsi="Times New Roman"/>
          </w:rPr>
          <w:t>1.1.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Правила за номериране</w:t>
        </w:r>
        <w:r>
          <w:rPr>
            <w:webHidden/>
          </w:rPr>
          <w:tab/>
        </w:r>
        <w:r>
          <w:rPr>
            <w:webHidden/>
          </w:rPr>
          <w:fldChar w:fldCharType="begin"/>
        </w:r>
        <w:r>
          <w:rPr>
            <w:webHidden/>
          </w:rPr>
          <w:instrText xml:space="preserve"> PAGEREF _Toc210895874 \h </w:instrText>
        </w:r>
        <w:r>
          <w:rPr>
            <w:webHidden/>
          </w:rPr>
        </w:r>
        <w:r>
          <w:rPr>
            <w:webHidden/>
          </w:rPr>
          <w:fldChar w:fldCharType="separate"/>
        </w:r>
        <w:r w:rsidR="006677FB">
          <w:rPr>
            <w:webHidden/>
          </w:rPr>
          <w:t>2</w:t>
        </w:r>
        <w:r>
          <w:rPr>
            <w:webHidden/>
          </w:rPr>
          <w:fldChar w:fldCharType="end"/>
        </w:r>
      </w:hyperlink>
    </w:p>
    <w:p w14:paraId="59A57F82" w14:textId="2BCA8A74"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75" w:history="1">
        <w:r w:rsidRPr="00CF3E35">
          <w:rPr>
            <w:rStyle w:val="Hyperlink"/>
            <w:rFonts w:ascii="Times New Roman" w:hAnsi="Times New Roman"/>
          </w:rPr>
          <w:t>1.2.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Правила за докладването на положителни и отрицателни стойности</w:t>
        </w:r>
        <w:r>
          <w:rPr>
            <w:webHidden/>
          </w:rPr>
          <w:tab/>
        </w:r>
        <w:r>
          <w:rPr>
            <w:webHidden/>
          </w:rPr>
          <w:fldChar w:fldCharType="begin"/>
        </w:r>
        <w:r>
          <w:rPr>
            <w:webHidden/>
          </w:rPr>
          <w:instrText xml:space="preserve"> PAGEREF _Toc210895875 \h </w:instrText>
        </w:r>
        <w:r>
          <w:rPr>
            <w:webHidden/>
          </w:rPr>
        </w:r>
        <w:r>
          <w:rPr>
            <w:webHidden/>
          </w:rPr>
          <w:fldChar w:fldCharType="separate"/>
        </w:r>
        <w:r w:rsidR="006677FB">
          <w:rPr>
            <w:webHidden/>
          </w:rPr>
          <w:t>2</w:t>
        </w:r>
        <w:r>
          <w:rPr>
            <w:webHidden/>
          </w:rPr>
          <w:fldChar w:fldCharType="end"/>
        </w:r>
      </w:hyperlink>
    </w:p>
    <w:p w14:paraId="3D198448" w14:textId="058DF742"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76" w:history="1">
        <w:r w:rsidRPr="00CF3E35">
          <w:rPr>
            <w:rStyle w:val="Hyperlink"/>
            <w:rFonts w:ascii="Times New Roman" w:hAnsi="Times New Roman"/>
          </w:rPr>
          <w:t>1.3.</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Позовавания на Регламент (ЕС) № 575/2013</w:t>
        </w:r>
        <w:r>
          <w:rPr>
            <w:webHidden/>
          </w:rPr>
          <w:tab/>
        </w:r>
        <w:r>
          <w:rPr>
            <w:webHidden/>
          </w:rPr>
          <w:fldChar w:fldCharType="begin"/>
        </w:r>
        <w:r>
          <w:rPr>
            <w:webHidden/>
          </w:rPr>
          <w:instrText xml:space="preserve"> PAGEREF _Toc210895876 \h </w:instrText>
        </w:r>
        <w:r>
          <w:rPr>
            <w:webHidden/>
          </w:rPr>
        </w:r>
        <w:r>
          <w:rPr>
            <w:webHidden/>
          </w:rPr>
          <w:fldChar w:fldCharType="separate"/>
        </w:r>
        <w:r w:rsidR="006677FB">
          <w:rPr>
            <w:webHidden/>
          </w:rPr>
          <w:t>2</w:t>
        </w:r>
        <w:r>
          <w:rPr>
            <w:webHidden/>
          </w:rPr>
          <w:fldChar w:fldCharType="end"/>
        </w:r>
      </w:hyperlink>
    </w:p>
    <w:p w14:paraId="16F480C5" w14:textId="1DBB8CEB"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77" w:history="1">
        <w:r w:rsidRPr="00CF3E35">
          <w:rPr>
            <w:rStyle w:val="Hyperlink"/>
            <w:rFonts w:ascii="Times New Roman" w:hAnsi="Times New Roman"/>
          </w:rPr>
          <w:t>ЧАСТ II: УКАЗАНИЯ ЗА ОБРАЗЦИТЕ: ОБРАЗЦИ ЗА ПАЗАРЕН РИСК</w:t>
        </w:r>
        <w:r>
          <w:rPr>
            <w:webHidden/>
          </w:rPr>
          <w:tab/>
        </w:r>
        <w:r>
          <w:rPr>
            <w:webHidden/>
          </w:rPr>
          <w:fldChar w:fldCharType="begin"/>
        </w:r>
        <w:r>
          <w:rPr>
            <w:webHidden/>
          </w:rPr>
          <w:instrText xml:space="preserve"> PAGEREF _Toc210895877 \h </w:instrText>
        </w:r>
        <w:r>
          <w:rPr>
            <w:webHidden/>
          </w:rPr>
        </w:r>
        <w:r>
          <w:rPr>
            <w:webHidden/>
          </w:rPr>
          <w:fldChar w:fldCharType="separate"/>
        </w:r>
        <w:r w:rsidR="006677FB">
          <w:rPr>
            <w:webHidden/>
          </w:rPr>
          <w:t>3</w:t>
        </w:r>
        <w:r>
          <w:rPr>
            <w:webHidden/>
          </w:rPr>
          <w:fldChar w:fldCharType="end"/>
        </w:r>
      </w:hyperlink>
    </w:p>
    <w:p w14:paraId="3CFCCB66" w14:textId="29E94313"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78" w:history="1">
        <w:r w:rsidRPr="00CF3E35">
          <w:rPr>
            <w:rStyle w:val="Hyperlink"/>
            <w:rFonts w:ascii="Times New Roman" w:hAnsi="Times New Roman"/>
          </w:rPr>
          <w:t>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_Toc210895878 \h </w:instrText>
        </w:r>
        <w:r>
          <w:rPr>
            <w:webHidden/>
          </w:rPr>
        </w:r>
        <w:r>
          <w:rPr>
            <w:webHidden/>
          </w:rPr>
          <w:fldChar w:fldCharType="separate"/>
        </w:r>
        <w:r w:rsidR="006677FB">
          <w:rPr>
            <w:webHidden/>
          </w:rPr>
          <w:t>3</w:t>
        </w:r>
        <w:r>
          <w:rPr>
            <w:webHidden/>
          </w:rPr>
          <w:fldChar w:fldCharType="end"/>
        </w:r>
      </w:hyperlink>
    </w:p>
    <w:p w14:paraId="4913ECFC" w14:textId="356872FC"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79" w:history="1">
        <w:r w:rsidRPr="00CF3E35">
          <w:rPr>
            <w:rStyle w:val="Hyperlink"/>
            <w:rFonts w:ascii="Times New Roman" w:hAnsi="Times New Roman"/>
          </w:rPr>
          <w:t>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C 18.00 — Пазарен риск: Стандартизиран подход за позиционни рискове по отношение на търгувани дългови инструменти (MKR SA TDI)</w:t>
        </w:r>
        <w:r>
          <w:rPr>
            <w:webHidden/>
          </w:rPr>
          <w:tab/>
        </w:r>
        <w:r>
          <w:rPr>
            <w:webHidden/>
          </w:rPr>
          <w:fldChar w:fldCharType="begin"/>
        </w:r>
        <w:r>
          <w:rPr>
            <w:webHidden/>
          </w:rPr>
          <w:instrText xml:space="preserve"> PAGEREF _Toc210895879 \h </w:instrText>
        </w:r>
        <w:r>
          <w:rPr>
            <w:webHidden/>
          </w:rPr>
        </w:r>
        <w:r>
          <w:rPr>
            <w:webHidden/>
          </w:rPr>
          <w:fldChar w:fldCharType="separate"/>
        </w:r>
        <w:r w:rsidR="006677FB">
          <w:rPr>
            <w:webHidden/>
          </w:rPr>
          <w:t>3</w:t>
        </w:r>
        <w:r>
          <w:rPr>
            <w:webHidden/>
          </w:rPr>
          <w:fldChar w:fldCharType="end"/>
        </w:r>
      </w:hyperlink>
    </w:p>
    <w:p w14:paraId="1C774CBA" w14:textId="31CCA088"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0" w:history="1">
        <w:r w:rsidRPr="00CF3E35">
          <w:rPr>
            <w:rStyle w:val="Hyperlink"/>
            <w:rFonts w:ascii="Times New Roman" w:hAnsi="Times New Roman"/>
          </w:rPr>
          <w:t>2.1.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_Toc210895880 \h </w:instrText>
        </w:r>
        <w:r>
          <w:rPr>
            <w:webHidden/>
          </w:rPr>
        </w:r>
        <w:r>
          <w:rPr>
            <w:webHidden/>
          </w:rPr>
          <w:fldChar w:fldCharType="separate"/>
        </w:r>
        <w:r w:rsidR="006677FB">
          <w:rPr>
            <w:webHidden/>
          </w:rPr>
          <w:t>3</w:t>
        </w:r>
        <w:r>
          <w:rPr>
            <w:webHidden/>
          </w:rPr>
          <w:fldChar w:fldCharType="end"/>
        </w:r>
      </w:hyperlink>
    </w:p>
    <w:p w14:paraId="27C7327F" w14:textId="59629FA6"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1" w:history="1">
        <w:r w:rsidRPr="00CF3E35">
          <w:rPr>
            <w:rStyle w:val="Hyperlink"/>
            <w:rFonts w:ascii="Times New Roman" w:hAnsi="Times New Roman"/>
          </w:rPr>
          <w:t>2.2.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Указания за конкретни позиции</w:t>
        </w:r>
        <w:r>
          <w:rPr>
            <w:webHidden/>
          </w:rPr>
          <w:tab/>
        </w:r>
        <w:r>
          <w:rPr>
            <w:webHidden/>
          </w:rPr>
          <w:fldChar w:fldCharType="begin"/>
        </w:r>
        <w:r>
          <w:rPr>
            <w:webHidden/>
          </w:rPr>
          <w:instrText xml:space="preserve"> PAGEREF _Toc210895881 \h </w:instrText>
        </w:r>
        <w:r>
          <w:rPr>
            <w:webHidden/>
          </w:rPr>
        </w:r>
        <w:r>
          <w:rPr>
            <w:webHidden/>
          </w:rPr>
          <w:fldChar w:fldCharType="separate"/>
        </w:r>
        <w:r w:rsidR="006677FB">
          <w:rPr>
            <w:webHidden/>
          </w:rPr>
          <w:t>4</w:t>
        </w:r>
        <w:r>
          <w:rPr>
            <w:webHidden/>
          </w:rPr>
          <w:fldChar w:fldCharType="end"/>
        </w:r>
      </w:hyperlink>
    </w:p>
    <w:p w14:paraId="1FE8EB16" w14:textId="22554EDB"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2" w:history="1">
        <w:r w:rsidRPr="00CF3E35">
          <w:rPr>
            <w:rStyle w:val="Hyperlink"/>
            <w:rFonts w:ascii="Times New Roman" w:hAnsi="Times New Roman"/>
          </w:rPr>
          <w:t>3.</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C 19.00 — ПАЗАРЕН РИСК: СТАНДАРТИЗИРАН ПОДХОД ЗА СПЕЦИФИЧЕН РИСК В СЕКЮРИТИЗАЦИИ (MKR SA SEC)</w:t>
        </w:r>
        <w:r>
          <w:rPr>
            <w:webHidden/>
          </w:rPr>
          <w:tab/>
        </w:r>
        <w:r>
          <w:rPr>
            <w:webHidden/>
          </w:rPr>
          <w:fldChar w:fldCharType="begin"/>
        </w:r>
        <w:r>
          <w:rPr>
            <w:webHidden/>
          </w:rPr>
          <w:instrText xml:space="preserve"> PAGEREF _Toc210895882 \h </w:instrText>
        </w:r>
        <w:r>
          <w:rPr>
            <w:webHidden/>
          </w:rPr>
        </w:r>
        <w:r>
          <w:rPr>
            <w:webHidden/>
          </w:rPr>
          <w:fldChar w:fldCharType="separate"/>
        </w:r>
        <w:r w:rsidR="006677FB">
          <w:rPr>
            <w:webHidden/>
          </w:rPr>
          <w:t>6</w:t>
        </w:r>
        <w:r>
          <w:rPr>
            <w:webHidden/>
          </w:rPr>
          <w:fldChar w:fldCharType="end"/>
        </w:r>
      </w:hyperlink>
    </w:p>
    <w:p w14:paraId="458F6044" w14:textId="34089BD4"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3" w:history="1">
        <w:r w:rsidRPr="00CF3E35">
          <w:rPr>
            <w:rStyle w:val="Hyperlink"/>
            <w:rFonts w:ascii="Times New Roman" w:hAnsi="Times New Roman"/>
          </w:rPr>
          <w:t>3.1.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_Toc210895883 \h </w:instrText>
        </w:r>
        <w:r>
          <w:rPr>
            <w:webHidden/>
          </w:rPr>
        </w:r>
        <w:r>
          <w:rPr>
            <w:webHidden/>
          </w:rPr>
          <w:fldChar w:fldCharType="separate"/>
        </w:r>
        <w:r w:rsidR="006677FB">
          <w:rPr>
            <w:webHidden/>
          </w:rPr>
          <w:t>6</w:t>
        </w:r>
        <w:r>
          <w:rPr>
            <w:webHidden/>
          </w:rPr>
          <w:fldChar w:fldCharType="end"/>
        </w:r>
      </w:hyperlink>
    </w:p>
    <w:p w14:paraId="286CF02A" w14:textId="10AB069D"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4" w:history="1">
        <w:r w:rsidRPr="00CF3E35">
          <w:rPr>
            <w:rStyle w:val="Hyperlink"/>
            <w:rFonts w:ascii="Times New Roman" w:hAnsi="Times New Roman"/>
          </w:rPr>
          <w:t>3.2.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Указания за конкретни позиции</w:t>
        </w:r>
        <w:r>
          <w:rPr>
            <w:webHidden/>
          </w:rPr>
          <w:tab/>
        </w:r>
        <w:r>
          <w:rPr>
            <w:webHidden/>
          </w:rPr>
          <w:fldChar w:fldCharType="begin"/>
        </w:r>
        <w:r>
          <w:rPr>
            <w:webHidden/>
          </w:rPr>
          <w:instrText xml:space="preserve"> PAGEREF _Toc210895884 \h </w:instrText>
        </w:r>
        <w:r>
          <w:rPr>
            <w:webHidden/>
          </w:rPr>
        </w:r>
        <w:r>
          <w:rPr>
            <w:webHidden/>
          </w:rPr>
          <w:fldChar w:fldCharType="separate"/>
        </w:r>
        <w:r w:rsidR="006677FB">
          <w:rPr>
            <w:webHidden/>
          </w:rPr>
          <w:t>7</w:t>
        </w:r>
        <w:r>
          <w:rPr>
            <w:webHidden/>
          </w:rPr>
          <w:fldChar w:fldCharType="end"/>
        </w:r>
      </w:hyperlink>
    </w:p>
    <w:p w14:paraId="76463E77" w14:textId="2BF71D5E"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5" w:history="1">
        <w:r w:rsidRPr="00CF3E35">
          <w:rPr>
            <w:rStyle w:val="Hyperlink"/>
            <w:rFonts w:ascii="Times New Roman" w:hAnsi="Times New Roman"/>
          </w:rPr>
          <w:t>4.</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C 20.00 — ПАЗАРЕН РИСК: СТАНДАРТИЗИРАН ПОДХОД ЗА СПЕЦИФИЧЕН РИСК ЗА ПОЗИЦИИТЕ, ОТНЕСЕНИ КЪМ ПОРТФЕЙЛА ЗА КОРЕЛАЦИОННО ТЪРГУВАНЕ (MKR SA CTP)</w:t>
        </w:r>
        <w:r>
          <w:rPr>
            <w:webHidden/>
          </w:rPr>
          <w:tab/>
        </w:r>
        <w:r>
          <w:rPr>
            <w:webHidden/>
          </w:rPr>
          <w:fldChar w:fldCharType="begin"/>
        </w:r>
        <w:r>
          <w:rPr>
            <w:webHidden/>
          </w:rPr>
          <w:instrText xml:space="preserve"> PAGEREF _Toc210895885 \h </w:instrText>
        </w:r>
        <w:r>
          <w:rPr>
            <w:webHidden/>
          </w:rPr>
        </w:r>
        <w:r>
          <w:rPr>
            <w:webHidden/>
          </w:rPr>
          <w:fldChar w:fldCharType="separate"/>
        </w:r>
        <w:r w:rsidR="006677FB">
          <w:rPr>
            <w:webHidden/>
          </w:rPr>
          <w:t>9</w:t>
        </w:r>
        <w:r>
          <w:rPr>
            <w:webHidden/>
          </w:rPr>
          <w:fldChar w:fldCharType="end"/>
        </w:r>
      </w:hyperlink>
    </w:p>
    <w:p w14:paraId="7FD758CF" w14:textId="5AADD662"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6" w:history="1">
        <w:r w:rsidRPr="00CF3E35">
          <w:rPr>
            <w:rStyle w:val="Hyperlink"/>
            <w:rFonts w:ascii="Times New Roman" w:hAnsi="Times New Roman"/>
          </w:rPr>
          <w:t>4.1.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_Toc210895886 \h </w:instrText>
        </w:r>
        <w:r>
          <w:rPr>
            <w:webHidden/>
          </w:rPr>
        </w:r>
        <w:r>
          <w:rPr>
            <w:webHidden/>
          </w:rPr>
          <w:fldChar w:fldCharType="separate"/>
        </w:r>
        <w:r w:rsidR="006677FB">
          <w:rPr>
            <w:webHidden/>
          </w:rPr>
          <w:t>9</w:t>
        </w:r>
        <w:r>
          <w:rPr>
            <w:webHidden/>
          </w:rPr>
          <w:fldChar w:fldCharType="end"/>
        </w:r>
      </w:hyperlink>
    </w:p>
    <w:p w14:paraId="0376E787" w14:textId="4FB00A14"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7" w:history="1">
        <w:r w:rsidRPr="00CF3E35">
          <w:rPr>
            <w:rStyle w:val="Hyperlink"/>
            <w:rFonts w:ascii="Times New Roman" w:hAnsi="Times New Roman"/>
          </w:rPr>
          <w:t>4.2.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Указания за конкретни позиции</w:t>
        </w:r>
        <w:r>
          <w:rPr>
            <w:webHidden/>
          </w:rPr>
          <w:tab/>
        </w:r>
        <w:r>
          <w:rPr>
            <w:webHidden/>
          </w:rPr>
          <w:fldChar w:fldCharType="begin"/>
        </w:r>
        <w:r>
          <w:rPr>
            <w:webHidden/>
          </w:rPr>
          <w:instrText xml:space="preserve"> PAGEREF _Toc210895887 \h </w:instrText>
        </w:r>
        <w:r>
          <w:rPr>
            <w:webHidden/>
          </w:rPr>
        </w:r>
        <w:r>
          <w:rPr>
            <w:webHidden/>
          </w:rPr>
          <w:fldChar w:fldCharType="separate"/>
        </w:r>
        <w:r w:rsidR="006677FB">
          <w:rPr>
            <w:webHidden/>
          </w:rPr>
          <w:t>10</w:t>
        </w:r>
        <w:r>
          <w:rPr>
            <w:webHidden/>
          </w:rPr>
          <w:fldChar w:fldCharType="end"/>
        </w:r>
      </w:hyperlink>
    </w:p>
    <w:p w14:paraId="039CCFEF" w14:textId="3DE10CFD"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8" w:history="1">
        <w:r w:rsidRPr="00CF3E35">
          <w:rPr>
            <w:rStyle w:val="Hyperlink"/>
            <w:rFonts w:ascii="Times New Roman" w:hAnsi="Times New Roman"/>
          </w:rPr>
          <w:t>5.</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C 21.00 — Пазарен риск: Стандартизиран подход за риск във връзка с позициите в капиталови инструменти (MKR SA EQU)</w:t>
        </w:r>
        <w:r>
          <w:rPr>
            <w:webHidden/>
          </w:rPr>
          <w:tab/>
        </w:r>
        <w:r>
          <w:rPr>
            <w:webHidden/>
          </w:rPr>
          <w:fldChar w:fldCharType="begin"/>
        </w:r>
        <w:r>
          <w:rPr>
            <w:webHidden/>
          </w:rPr>
          <w:instrText xml:space="preserve"> PAGEREF _Toc210895888 \h </w:instrText>
        </w:r>
        <w:r>
          <w:rPr>
            <w:webHidden/>
          </w:rPr>
        </w:r>
        <w:r>
          <w:rPr>
            <w:webHidden/>
          </w:rPr>
          <w:fldChar w:fldCharType="separate"/>
        </w:r>
        <w:r w:rsidR="006677FB">
          <w:rPr>
            <w:webHidden/>
          </w:rPr>
          <w:t>12</w:t>
        </w:r>
        <w:r>
          <w:rPr>
            <w:webHidden/>
          </w:rPr>
          <w:fldChar w:fldCharType="end"/>
        </w:r>
      </w:hyperlink>
    </w:p>
    <w:p w14:paraId="31E1A58B" w14:textId="6E1F49A6"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89" w:history="1">
        <w:r w:rsidRPr="00CF3E35">
          <w:rPr>
            <w:rStyle w:val="Hyperlink"/>
            <w:rFonts w:ascii="Times New Roman" w:hAnsi="Times New Roman"/>
          </w:rPr>
          <w:t>5.1.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_Toc210895889 \h </w:instrText>
        </w:r>
        <w:r>
          <w:rPr>
            <w:webHidden/>
          </w:rPr>
        </w:r>
        <w:r>
          <w:rPr>
            <w:webHidden/>
          </w:rPr>
          <w:fldChar w:fldCharType="separate"/>
        </w:r>
        <w:r w:rsidR="006677FB">
          <w:rPr>
            <w:webHidden/>
          </w:rPr>
          <w:t>12</w:t>
        </w:r>
        <w:r>
          <w:rPr>
            <w:webHidden/>
          </w:rPr>
          <w:fldChar w:fldCharType="end"/>
        </w:r>
      </w:hyperlink>
    </w:p>
    <w:p w14:paraId="3898954C" w14:textId="0155680A"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0" w:history="1">
        <w:r w:rsidRPr="00CF3E35">
          <w:rPr>
            <w:rStyle w:val="Hyperlink"/>
            <w:rFonts w:ascii="Times New Roman" w:hAnsi="Times New Roman"/>
          </w:rPr>
          <w:t>5.2.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Указания за конкретни позиции</w:t>
        </w:r>
        <w:r>
          <w:rPr>
            <w:webHidden/>
          </w:rPr>
          <w:tab/>
        </w:r>
        <w:r>
          <w:rPr>
            <w:webHidden/>
          </w:rPr>
          <w:fldChar w:fldCharType="begin"/>
        </w:r>
        <w:r>
          <w:rPr>
            <w:webHidden/>
          </w:rPr>
          <w:instrText xml:space="preserve"> PAGEREF _Toc210895890 \h </w:instrText>
        </w:r>
        <w:r>
          <w:rPr>
            <w:webHidden/>
          </w:rPr>
        </w:r>
        <w:r>
          <w:rPr>
            <w:webHidden/>
          </w:rPr>
          <w:fldChar w:fldCharType="separate"/>
        </w:r>
        <w:r w:rsidR="006677FB">
          <w:rPr>
            <w:webHidden/>
          </w:rPr>
          <w:t>13</w:t>
        </w:r>
        <w:r>
          <w:rPr>
            <w:webHidden/>
          </w:rPr>
          <w:fldChar w:fldCharType="end"/>
        </w:r>
      </w:hyperlink>
    </w:p>
    <w:p w14:paraId="50A4493E" w14:textId="4E59FF1F"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1" w:history="1">
        <w:r w:rsidRPr="00CF3E35">
          <w:rPr>
            <w:rStyle w:val="Hyperlink"/>
            <w:rFonts w:ascii="Times New Roman" w:hAnsi="Times New Roman"/>
          </w:rPr>
          <w:t>6.</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C 22.00 — Пазарен риск: Стандартизирани подходи за валутен риск (MKR SA FX)</w:t>
        </w:r>
        <w:r>
          <w:rPr>
            <w:webHidden/>
          </w:rPr>
          <w:tab/>
        </w:r>
        <w:r>
          <w:rPr>
            <w:webHidden/>
          </w:rPr>
          <w:fldChar w:fldCharType="begin"/>
        </w:r>
        <w:r>
          <w:rPr>
            <w:webHidden/>
          </w:rPr>
          <w:instrText xml:space="preserve"> PAGEREF _Toc210895891 \h </w:instrText>
        </w:r>
        <w:r>
          <w:rPr>
            <w:webHidden/>
          </w:rPr>
        </w:r>
        <w:r>
          <w:rPr>
            <w:webHidden/>
          </w:rPr>
          <w:fldChar w:fldCharType="separate"/>
        </w:r>
        <w:r w:rsidR="006677FB">
          <w:rPr>
            <w:webHidden/>
          </w:rPr>
          <w:t>15</w:t>
        </w:r>
        <w:r>
          <w:rPr>
            <w:webHidden/>
          </w:rPr>
          <w:fldChar w:fldCharType="end"/>
        </w:r>
      </w:hyperlink>
    </w:p>
    <w:p w14:paraId="499AB80C" w14:textId="32B8009E"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2" w:history="1">
        <w:r w:rsidRPr="00CF3E35">
          <w:rPr>
            <w:rStyle w:val="Hyperlink"/>
            <w:rFonts w:ascii="Times New Roman" w:hAnsi="Times New Roman"/>
          </w:rPr>
          <w:t>6.1.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_Toc210895892 \h </w:instrText>
        </w:r>
        <w:r>
          <w:rPr>
            <w:webHidden/>
          </w:rPr>
        </w:r>
        <w:r>
          <w:rPr>
            <w:webHidden/>
          </w:rPr>
          <w:fldChar w:fldCharType="separate"/>
        </w:r>
        <w:r w:rsidR="006677FB">
          <w:rPr>
            <w:webHidden/>
          </w:rPr>
          <w:t>15</w:t>
        </w:r>
        <w:r>
          <w:rPr>
            <w:webHidden/>
          </w:rPr>
          <w:fldChar w:fldCharType="end"/>
        </w:r>
      </w:hyperlink>
    </w:p>
    <w:p w14:paraId="4F938D1C" w14:textId="77DC65B0"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3" w:history="1">
        <w:r w:rsidRPr="00CF3E35">
          <w:rPr>
            <w:rStyle w:val="Hyperlink"/>
            <w:rFonts w:ascii="Times New Roman" w:hAnsi="Times New Roman"/>
          </w:rPr>
          <w:t>6.2.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Указания за конкретни позиции</w:t>
        </w:r>
        <w:r>
          <w:rPr>
            <w:webHidden/>
          </w:rPr>
          <w:tab/>
        </w:r>
        <w:r>
          <w:rPr>
            <w:webHidden/>
          </w:rPr>
          <w:fldChar w:fldCharType="begin"/>
        </w:r>
        <w:r>
          <w:rPr>
            <w:webHidden/>
          </w:rPr>
          <w:instrText xml:space="preserve"> PAGEREF _Toc210895893 \h </w:instrText>
        </w:r>
        <w:r>
          <w:rPr>
            <w:webHidden/>
          </w:rPr>
        </w:r>
        <w:r>
          <w:rPr>
            <w:webHidden/>
          </w:rPr>
          <w:fldChar w:fldCharType="separate"/>
        </w:r>
        <w:r w:rsidR="006677FB">
          <w:rPr>
            <w:webHidden/>
          </w:rPr>
          <w:t>15</w:t>
        </w:r>
        <w:r>
          <w:rPr>
            <w:webHidden/>
          </w:rPr>
          <w:fldChar w:fldCharType="end"/>
        </w:r>
      </w:hyperlink>
    </w:p>
    <w:p w14:paraId="6A994276" w14:textId="3B334D5F"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4" w:history="1">
        <w:r w:rsidRPr="00CF3E35">
          <w:rPr>
            <w:rStyle w:val="Hyperlink"/>
            <w:rFonts w:ascii="Times New Roman" w:hAnsi="Times New Roman"/>
          </w:rPr>
          <w:t>7.</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C 23.00 — Пазарен риск: Стандартизирани подходи за стоки (MKR SA COM)</w:t>
        </w:r>
        <w:r>
          <w:rPr>
            <w:webHidden/>
          </w:rPr>
          <w:tab/>
        </w:r>
        <w:r>
          <w:rPr>
            <w:webHidden/>
          </w:rPr>
          <w:fldChar w:fldCharType="begin"/>
        </w:r>
        <w:r>
          <w:rPr>
            <w:webHidden/>
          </w:rPr>
          <w:instrText xml:space="preserve"> PAGEREF _Toc210895894 \h </w:instrText>
        </w:r>
        <w:r>
          <w:rPr>
            <w:webHidden/>
          </w:rPr>
        </w:r>
        <w:r>
          <w:rPr>
            <w:webHidden/>
          </w:rPr>
          <w:fldChar w:fldCharType="separate"/>
        </w:r>
        <w:r w:rsidR="006677FB">
          <w:rPr>
            <w:webHidden/>
          </w:rPr>
          <w:t>18</w:t>
        </w:r>
        <w:r>
          <w:rPr>
            <w:webHidden/>
          </w:rPr>
          <w:fldChar w:fldCharType="end"/>
        </w:r>
      </w:hyperlink>
    </w:p>
    <w:p w14:paraId="14979A29" w14:textId="3BE7C8E5"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5" w:history="1">
        <w:r w:rsidRPr="00CF3E35">
          <w:rPr>
            <w:rStyle w:val="Hyperlink"/>
            <w:rFonts w:ascii="Times New Roman" w:hAnsi="Times New Roman"/>
          </w:rPr>
          <w:t>7.1.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_Toc210895895 \h </w:instrText>
        </w:r>
        <w:r>
          <w:rPr>
            <w:webHidden/>
          </w:rPr>
        </w:r>
        <w:r>
          <w:rPr>
            <w:webHidden/>
          </w:rPr>
          <w:fldChar w:fldCharType="separate"/>
        </w:r>
        <w:r w:rsidR="006677FB">
          <w:rPr>
            <w:webHidden/>
          </w:rPr>
          <w:t>18</w:t>
        </w:r>
        <w:r>
          <w:rPr>
            <w:webHidden/>
          </w:rPr>
          <w:fldChar w:fldCharType="end"/>
        </w:r>
      </w:hyperlink>
    </w:p>
    <w:p w14:paraId="1701E2F3" w14:textId="0C6C1910"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6" w:history="1">
        <w:r w:rsidRPr="00CF3E35">
          <w:rPr>
            <w:rStyle w:val="Hyperlink"/>
            <w:rFonts w:ascii="Times New Roman" w:hAnsi="Times New Roman"/>
          </w:rPr>
          <w:t>7.2.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Указания за конкретни позиции</w:t>
        </w:r>
        <w:r>
          <w:rPr>
            <w:webHidden/>
          </w:rPr>
          <w:tab/>
        </w:r>
        <w:r>
          <w:rPr>
            <w:webHidden/>
          </w:rPr>
          <w:fldChar w:fldCharType="begin"/>
        </w:r>
        <w:r>
          <w:rPr>
            <w:webHidden/>
          </w:rPr>
          <w:instrText xml:space="preserve"> PAGEREF _Toc210895896 \h </w:instrText>
        </w:r>
        <w:r>
          <w:rPr>
            <w:webHidden/>
          </w:rPr>
        </w:r>
        <w:r>
          <w:rPr>
            <w:webHidden/>
          </w:rPr>
          <w:fldChar w:fldCharType="separate"/>
        </w:r>
        <w:r w:rsidR="006677FB">
          <w:rPr>
            <w:webHidden/>
          </w:rPr>
          <w:t>19</w:t>
        </w:r>
        <w:r>
          <w:rPr>
            <w:webHidden/>
          </w:rPr>
          <w:fldChar w:fldCharType="end"/>
        </w:r>
      </w:hyperlink>
    </w:p>
    <w:p w14:paraId="3E6C45C4" w14:textId="34C419FA"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7" w:history="1">
        <w:r w:rsidRPr="00CF3E35">
          <w:rPr>
            <w:rStyle w:val="Hyperlink"/>
            <w:rFonts w:ascii="Times New Roman" w:hAnsi="Times New Roman"/>
          </w:rPr>
          <w:t>8.</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C 24.00 - Вътрешен модел за пазарен риск (MKR IM)</w:t>
        </w:r>
        <w:r>
          <w:rPr>
            <w:webHidden/>
          </w:rPr>
          <w:tab/>
        </w:r>
        <w:r>
          <w:rPr>
            <w:webHidden/>
          </w:rPr>
          <w:fldChar w:fldCharType="begin"/>
        </w:r>
        <w:r>
          <w:rPr>
            <w:webHidden/>
          </w:rPr>
          <w:instrText xml:space="preserve"> PAGEREF _Toc210895897 \h </w:instrText>
        </w:r>
        <w:r>
          <w:rPr>
            <w:webHidden/>
          </w:rPr>
        </w:r>
        <w:r>
          <w:rPr>
            <w:webHidden/>
          </w:rPr>
          <w:fldChar w:fldCharType="separate"/>
        </w:r>
        <w:r w:rsidR="006677FB">
          <w:rPr>
            <w:webHidden/>
          </w:rPr>
          <w:t>20</w:t>
        </w:r>
        <w:r>
          <w:rPr>
            <w:webHidden/>
          </w:rPr>
          <w:fldChar w:fldCharType="end"/>
        </w:r>
      </w:hyperlink>
    </w:p>
    <w:p w14:paraId="5ABD409A" w14:textId="3BD080B6"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8" w:history="1">
        <w:r w:rsidRPr="00CF3E35">
          <w:rPr>
            <w:rStyle w:val="Hyperlink"/>
            <w:rFonts w:ascii="Times New Roman" w:hAnsi="Times New Roman"/>
          </w:rPr>
          <w:t>8.1.</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Общи бележки</w:t>
        </w:r>
        <w:r>
          <w:rPr>
            <w:webHidden/>
          </w:rPr>
          <w:tab/>
        </w:r>
        <w:r>
          <w:rPr>
            <w:webHidden/>
          </w:rPr>
          <w:fldChar w:fldCharType="begin"/>
        </w:r>
        <w:r>
          <w:rPr>
            <w:webHidden/>
          </w:rPr>
          <w:instrText xml:space="preserve"> PAGEREF _Toc210895898 \h </w:instrText>
        </w:r>
        <w:r>
          <w:rPr>
            <w:webHidden/>
          </w:rPr>
        </w:r>
        <w:r>
          <w:rPr>
            <w:webHidden/>
          </w:rPr>
          <w:fldChar w:fldCharType="separate"/>
        </w:r>
        <w:r w:rsidR="006677FB">
          <w:rPr>
            <w:webHidden/>
          </w:rPr>
          <w:t>20</w:t>
        </w:r>
        <w:r>
          <w:rPr>
            <w:webHidden/>
          </w:rPr>
          <w:fldChar w:fldCharType="end"/>
        </w:r>
      </w:hyperlink>
    </w:p>
    <w:p w14:paraId="296429F7" w14:textId="031F5EF7" w:rsidR="000E0EDE" w:rsidRDefault="000E0EDE">
      <w:pPr>
        <w:pStyle w:val="TOC2"/>
        <w:rPr>
          <w:rFonts w:asciiTheme="minorHAnsi" w:eastAsiaTheme="minorEastAsia" w:hAnsiTheme="minorHAnsi" w:cstheme="minorBidi"/>
          <w:b w:val="0"/>
          <w:smallCaps w:val="0"/>
          <w:kern w:val="2"/>
          <w:sz w:val="24"/>
          <w:szCs w:val="24"/>
          <w:lang w:val="en-GB" w:eastAsia="en-GB"/>
          <w14:ligatures w14:val="standardContextual"/>
        </w:rPr>
      </w:pPr>
      <w:hyperlink w:anchor="_Toc210895899" w:history="1">
        <w:r w:rsidRPr="00CF3E35">
          <w:rPr>
            <w:rStyle w:val="Hyperlink"/>
            <w:rFonts w:ascii="Times New Roman" w:hAnsi="Times New Roman"/>
          </w:rPr>
          <w:t>8.2.</w:t>
        </w:r>
        <w:r>
          <w:rPr>
            <w:rFonts w:asciiTheme="minorHAnsi" w:eastAsiaTheme="minorEastAsia" w:hAnsiTheme="minorHAnsi" w:cstheme="minorBidi"/>
            <w:b w:val="0"/>
            <w:smallCaps w:val="0"/>
            <w:kern w:val="2"/>
            <w:sz w:val="24"/>
            <w:szCs w:val="24"/>
            <w:lang w:val="en-GB" w:eastAsia="en-GB"/>
            <w14:ligatures w14:val="standardContextual"/>
          </w:rPr>
          <w:tab/>
        </w:r>
        <w:r w:rsidRPr="00CF3E35">
          <w:rPr>
            <w:rStyle w:val="Hyperlink"/>
            <w:rFonts w:ascii="Times New Roman" w:hAnsi="Times New Roman"/>
          </w:rPr>
          <w:t>Указания за конкретни позиции</w:t>
        </w:r>
        <w:r>
          <w:rPr>
            <w:webHidden/>
          </w:rPr>
          <w:tab/>
        </w:r>
        <w:r>
          <w:rPr>
            <w:webHidden/>
          </w:rPr>
          <w:fldChar w:fldCharType="begin"/>
        </w:r>
        <w:r>
          <w:rPr>
            <w:webHidden/>
          </w:rPr>
          <w:instrText xml:space="preserve"> PAGEREF _Toc210895899 \h </w:instrText>
        </w:r>
        <w:r>
          <w:rPr>
            <w:webHidden/>
          </w:rPr>
        </w:r>
        <w:r>
          <w:rPr>
            <w:webHidden/>
          </w:rPr>
          <w:fldChar w:fldCharType="separate"/>
        </w:r>
        <w:r w:rsidR="006677FB">
          <w:rPr>
            <w:webHidden/>
          </w:rPr>
          <w:t>20</w:t>
        </w:r>
        <w:r>
          <w:rPr>
            <w:webHidden/>
          </w:rPr>
          <w:fldChar w:fldCharType="end"/>
        </w:r>
      </w:hyperlink>
    </w:p>
    <w:p w14:paraId="4325A1DC" w14:textId="02AAB04B"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895872"/>
      <w:r>
        <w:rPr>
          <w:rFonts w:ascii="Times New Roman" w:hAnsi="Times New Roman"/>
        </w:rPr>
        <w:lastRenderedPageBreak/>
        <w:t>ЧАСТ I:</w:t>
      </w:r>
      <w:bookmarkEnd w:id="2"/>
      <w:r>
        <w:rPr>
          <w:rFonts w:ascii="Times New Roman" w:hAnsi="Times New Roman"/>
        </w:rPr>
        <w:t xml:space="preserve"> ОБЩИ УКАЗАНИЯ</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895873"/>
      <w:r>
        <w:rPr>
          <w:rFonts w:ascii="Times New Roman" w:hAnsi="Times New Roman"/>
          <w:sz w:val="24"/>
          <w:u w:val="none"/>
        </w:rPr>
        <w:t>1.</w:t>
      </w:r>
      <w:r>
        <w:tab/>
      </w:r>
      <w:r>
        <w:rPr>
          <w:rFonts w:ascii="Times New Roman" w:hAnsi="Times New Roman"/>
          <w:sz w:val="24"/>
          <w:u w:val="none"/>
        </w:rPr>
        <w:t>УСТАНОВЕНИ ПРАКТИКИ</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895874"/>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Правила за номериране</w:t>
      </w:r>
      <w:bookmarkEnd w:id="9"/>
      <w:bookmarkEnd w:id="10"/>
      <w:bookmarkEnd w:id="11"/>
    </w:p>
    <w:p w14:paraId="07DD29A3" w14:textId="3ADB010A" w:rsidR="002648B0" w:rsidRPr="002D60D7" w:rsidRDefault="002648B0" w:rsidP="00E172EA">
      <w:pPr>
        <w:pStyle w:val="InstructionsText2"/>
        <w:numPr>
          <w:ilvl w:val="0"/>
          <w:numId w:val="29"/>
        </w:numPr>
        <w:suppressAutoHyphens/>
      </w:pPr>
      <w:r>
        <w:t>Когато в документа се препраща към колоните, редовете и полетата от образците, обозначаването е посоченото в точки 2—5. Тези цифрови кодове се използват широко при правилата за утвърждаване.</w:t>
      </w:r>
    </w:p>
    <w:p w14:paraId="4A930757" w14:textId="35786EEA" w:rsidR="005643EA" w:rsidRPr="002D60D7" w:rsidRDefault="002648B0" w:rsidP="00E172EA">
      <w:pPr>
        <w:pStyle w:val="InstructionsText2"/>
        <w:numPr>
          <w:ilvl w:val="0"/>
          <w:numId w:val="29"/>
        </w:numPr>
        <w:suppressAutoHyphens/>
      </w:pPr>
      <w:r>
        <w:t>В указанията се съблюдават следните общи означения: {образец; ред; колона}.</w:t>
      </w:r>
    </w:p>
    <w:p w14:paraId="058D6622" w14:textId="0D8EC818" w:rsidR="002648B0" w:rsidRPr="002D60D7" w:rsidRDefault="002648B0" w:rsidP="00E172EA">
      <w:pPr>
        <w:pStyle w:val="InstructionsText2"/>
        <w:numPr>
          <w:ilvl w:val="0"/>
          <w:numId w:val="29"/>
        </w:numPr>
        <w:suppressAutoHyphens/>
      </w:pPr>
      <w:r>
        <w:t>Когато се извършва утвърждаване в рамките на образец, в който се използват само съдържащите се в него данни, означенията не включват думата „образец“: {ред; колона}.</w:t>
      </w:r>
    </w:p>
    <w:p w14:paraId="1C93CB72" w14:textId="27E06172" w:rsidR="005643EA" w:rsidRPr="002D60D7" w:rsidRDefault="002648B0" w:rsidP="00E172EA">
      <w:pPr>
        <w:pStyle w:val="InstructionsText2"/>
        <w:numPr>
          <w:ilvl w:val="0"/>
          <w:numId w:val="29"/>
        </w:numPr>
        <w:suppressAutoHyphens/>
      </w:pPr>
      <w:r>
        <w:t>При образците, които имат само една колона, се посочват само редовете. {образец; ред}.</w:t>
      </w:r>
    </w:p>
    <w:p w14:paraId="6CF08484" w14:textId="337CEEA0" w:rsidR="002648B0" w:rsidRPr="002D60D7" w:rsidRDefault="002648B0" w:rsidP="00E172EA">
      <w:pPr>
        <w:pStyle w:val="InstructionsText2"/>
        <w:numPr>
          <w:ilvl w:val="0"/>
          <w:numId w:val="29"/>
        </w:numPr>
        <w:suppressAutoHyphens/>
      </w:pPr>
      <w:r>
        <w:t>Знакът „звездичка“ се използва, за да се покаже, че утвърждаването обхваща посочените преди това редове или колони.</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895875"/>
      <w:r>
        <w:rPr>
          <w:rFonts w:ascii="Times New Roman" w:hAnsi="Times New Roman"/>
          <w:sz w:val="24"/>
          <w:u w:val="none"/>
        </w:rPr>
        <w:t>1.2.</w:t>
      </w:r>
      <w:r>
        <w:tab/>
      </w:r>
      <w:r>
        <w:rPr>
          <w:rFonts w:ascii="Times New Roman" w:hAnsi="Times New Roman"/>
          <w:sz w:val="24"/>
          <w:u w:val="none"/>
        </w:rPr>
        <w:t>Правила за докладването на положителни и отрицателни стойности</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Всяка стойност, с която се увеличават собствените средства или капиталовите изисквания, се докладва като положително число. Обратно – всяка стойност, с която се намалява общият размер на собствените средства или капиталовите изисквания, се докладва като отрицателно число. Ако пред обозначението на дадена позиция се намира отрицателен знак (–), тя не би следвало да е с положителна стойност.</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895876"/>
      <w:r>
        <w:rPr>
          <w:rFonts w:ascii="Times New Roman" w:hAnsi="Times New Roman"/>
          <w:sz w:val="24"/>
          <w:u w:val="none"/>
        </w:rPr>
        <w:t>1.3.</w:t>
      </w:r>
      <w:r>
        <w:tab/>
      </w:r>
      <w:r>
        <w:rPr>
          <w:rFonts w:ascii="Times New Roman" w:hAnsi="Times New Roman"/>
          <w:sz w:val="24"/>
          <w:u w:val="none"/>
        </w:rPr>
        <w:t>Позовавания на Регламент (ЕС) № 575/2013</w:t>
      </w:r>
      <w:bookmarkEnd w:id="17"/>
    </w:p>
    <w:p w14:paraId="59845808" w14:textId="11AE211B" w:rsidR="00843119" w:rsidRPr="002D60D7" w:rsidRDefault="00843119" w:rsidP="00E172EA">
      <w:pPr>
        <w:pStyle w:val="InstructionsText2"/>
        <w:numPr>
          <w:ilvl w:val="0"/>
          <w:numId w:val="29"/>
        </w:numPr>
        <w:suppressAutoHyphens/>
      </w:pPr>
      <w:r>
        <w:t xml:space="preserve">Всички позовавания на членове 325—377 от Регламент (ЕС) № 575/2013 се считат за позовавания на версията на този регламент в сила към 26 юни 2019 г.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895877"/>
      <w:r>
        <w:rPr>
          <w:rFonts w:ascii="Times New Roman" w:hAnsi="Times New Roman"/>
        </w:rPr>
        <w:t>ЧАСТ II: УКАЗАНИЯ ЗА ОБРАЗЦИТЕ</w:t>
      </w:r>
      <w:bookmarkEnd w:id="18"/>
      <w:bookmarkEnd w:id="19"/>
      <w:r>
        <w:rPr>
          <w:rFonts w:ascii="Times New Roman" w:hAnsi="Times New Roman"/>
        </w:rPr>
        <w:t>: ОБРАЗЦИ ЗА ПАЗАРЕН РИСК</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895878"/>
      <w:r>
        <w:rPr>
          <w:rFonts w:ascii="Times New Roman" w:hAnsi="Times New Roman"/>
          <w:sz w:val="24"/>
          <w:u w:val="none"/>
        </w:rPr>
        <w:t>1.</w:t>
      </w:r>
      <w:r>
        <w:tab/>
      </w:r>
      <w:bookmarkEnd w:id="21"/>
      <w:bookmarkEnd w:id="22"/>
      <w:bookmarkEnd w:id="23"/>
      <w:bookmarkEnd w:id="24"/>
      <w:bookmarkEnd w:id="25"/>
      <w:bookmarkEnd w:id="26"/>
      <w:r>
        <w:rPr>
          <w:rFonts w:ascii="Times New Roman" w:hAnsi="Times New Roman"/>
          <w:sz w:val="24"/>
        </w:rPr>
        <w:t>Общи бележки</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Тези указания се отнасят за образците, в които се докладва изчисляването според стандартизирания подход на капиталовите изисквания за валутен риск (MKR SA FX), стоков риск (MKR SA COM), лихвен риск (MKR SA TDI, MKR SA SEC, MKR SA CTP) и капиталов риск (MKR SA EQU). В тази част са включени и указания за образеца, в който се докладва изчисляването на капиталовите изисквания според подхода на вътрешните модели (MKR IM). </w:t>
      </w:r>
    </w:p>
    <w:p w14:paraId="43A205D1" w14:textId="5DC446A2" w:rsidR="000B0B09" w:rsidRPr="002D60D7" w:rsidRDefault="000B0B09" w:rsidP="00E172EA">
      <w:pPr>
        <w:pStyle w:val="InstructionsText2"/>
        <w:numPr>
          <w:ilvl w:val="0"/>
          <w:numId w:val="29"/>
        </w:numPr>
        <w:suppressAutoHyphens/>
      </w:pPr>
      <w:r>
        <w:t xml:space="preserve">Рискът при позициите в търгуван дългов или капиталов инструмент (дългов или капиталов дериват) се разделя на два компонента, за да се изчисли изискваният капитал с оглед на този риск. Първият компонент обхваща специфичния риск – рискът от промяна на цената на инструмента поради фактори, свързани с неговия емитент, а ако е дериват – с емитента на базовия инструмент. Вторият компонент обхваща общия риск – рискът от промяна на цената на инструмента поради промяна в лихвените проценти (при търгуван дългов инструмент или дългов дериват) или поради (при капиталов инструмент или капиталов дериват) общата динамика на пазара на капиталови инструменти, която не е свързана със специфичните характеристики на отделните ценни книжа. </w:t>
      </w:r>
      <w:bookmarkEnd w:id="28"/>
      <w:r>
        <w:t xml:space="preserve">Общото третиране в зависимост от спецификата на инструментите и процедурите за нетиране са описани в членове 326—333 от Регламент (ЕС) №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895879"/>
      <w:r>
        <w:rPr>
          <w:rFonts w:ascii="Times New Roman" w:hAnsi="Times New Roman"/>
          <w:sz w:val="24"/>
          <w:u w:val="none"/>
        </w:rPr>
        <w:t>2.</w:t>
      </w:r>
      <w:r>
        <w:tab/>
      </w:r>
      <w:r>
        <w:rPr>
          <w:rFonts w:ascii="Times New Roman" w:hAnsi="Times New Roman"/>
          <w:sz w:val="24"/>
        </w:rPr>
        <w:t>C 18.00 — Пазарен риск: Стандартизиран подход за позиционни рискове по отношение на търгувани дългови инструменти</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895880"/>
      <w:r>
        <w:rPr>
          <w:rFonts w:ascii="Times New Roman" w:hAnsi="Times New Roman"/>
          <w:sz w:val="24"/>
          <w:u w:val="none"/>
        </w:rPr>
        <w:t>2.1.</w:t>
      </w:r>
      <w:r>
        <w:tab/>
      </w:r>
      <w:r>
        <w:rPr>
          <w:rFonts w:ascii="Times New Roman" w:hAnsi="Times New Roman"/>
          <w:sz w:val="24"/>
        </w:rPr>
        <w:t>Общи бележки</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В този образец се отразяват позициите и свързаните с тях капиталови изисквания за рисковете при позиции в търгувани дългови инструменти според стандартизирания подход (член 325, параграф 2, буква а) от Регламент (ЕС) № 575/2013). Различните рискове и методи по Регламент (ЕС) № 575/2013 се разглеждат по редове. Специфичният риск при експозициите, включени в MKR SA SEC и MKR SA CTP, се докладва само в образец „Общо“ на MKR SA TDI. Докладваните в тези образци капиталови изисквания се пренасят съответно в поле {0325;0060} (секюритизации) и {0330;0060} (CTP — портфейл за корелационно търгуване).</w:t>
      </w:r>
    </w:p>
    <w:p w14:paraId="7C8420A5" w14:textId="3BAA75DB" w:rsidR="000B0B09" w:rsidRPr="002D60D7" w:rsidRDefault="000B0B09" w:rsidP="00E172EA">
      <w:pPr>
        <w:pStyle w:val="InstructionsText2"/>
        <w:numPr>
          <w:ilvl w:val="0"/>
          <w:numId w:val="29"/>
        </w:numPr>
        <w:suppressAutoHyphens/>
      </w:pPr>
      <w:r>
        <w:t xml:space="preserve">Този образец се попълва отделно за „Total“ (Общо), както и за предварително съставен списък със следните парични единици: </w:t>
      </w:r>
      <w:bookmarkStart w:id="44" w:name="OLE_LINK1"/>
      <w:r>
        <w:t>EUR, ALL, BGN, CZK, DKK, EGP, GBP, HUF, ISK, JPY, MKD, NOK, PLN, RON, RUB, RSD, SEK, CHF, TRY, UAH, USD</w:t>
      </w:r>
      <w:bookmarkEnd w:id="44"/>
      <w:r>
        <w:t xml:space="preserve"> и един допълнителен образец за всички останали парични единици.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895881"/>
      <w:r>
        <w:rPr>
          <w:rFonts w:ascii="Times New Roman" w:hAnsi="Times New Roman"/>
          <w:sz w:val="24"/>
          <w:u w:val="none"/>
        </w:rPr>
        <w:lastRenderedPageBreak/>
        <w:t>2.2.</w:t>
      </w:r>
      <w:r>
        <w:tab/>
      </w:r>
      <w:r>
        <w:rPr>
          <w:rFonts w:ascii="Times New Roman" w:hAnsi="Times New Roman"/>
          <w:sz w:val="24"/>
        </w:rPr>
        <w:t>Указания за конкретни позиции</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Член 102 и член 105, параграф 1 от Регламент (ЕС) № 575/2013. Това са брутните позиции, които не са нетирани по инструменти и които обаче, в съответствие с член 345, параграф 1, първа алинея, второ изречение от Регламент (ЕС) № 575/2013, не включват поетите позиции, записани или препоети от трети лица. Относно разграничението между дълги и къси позиции, което е приложимо и за тези брутни позиции, вж. член 328, параграф 2 от посочения регламент.</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Членове 327—329 и член 334 от Регламент (ЕС) № 575/2013. По отношение на разграничението между дълги и къси позиции вж. член 328, параграф 2 от посочения регламент.</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Тези нетни позиции, които в съответствие с различните подходи, изложени в трета част, дял IV, глава 2 от Регламент (ЕС) № 575/2013, подлежат на капиталови изисквания.</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Капиталовите изисквания за всички съответни позиции в съответствие с трета част, дял IV, глава 2 от Регламент (ЕС) №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Член 92, параграф 6, буква б) от Регламент (ЕС) № 575/2013. Произведението на капиталовите изисквания и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В ТЪРГОВСКИЯ ПОРТФЕЙЛ</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Позициите в търгувани дългови инструменти в търговския портфейл и съответните им капиталови изисквания за позиционен риск съгласно член 92, параграф 4, буква б), подточка i) от Регламент (ЕС) № 575/2013 и трета част, глава 2, дял IV от същия регламент се докладват в зависимост от рисковата категория, падежа и използвания подход.</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ОБЩ РИСК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Деривати</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Дериватите, включени в изчисляването на лихвения риск при позициите в търговския портфейл, като се взимат предвид членове 328—331 от Регламент (ЕС) № 575/2013, когато е приложимо.</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активи и пасиви</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 xml:space="preserve">Инструментите, които не са деривати и които са включени в изчисляването на лихвения риск при позициите в търговския портфейл.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МАТУРИТЕТЕН ПОДХОД</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матуритетният подход по член 339, параграфи 1—8 от Регламент (ЕС) № 575/2013 и съответните капиталови изисквания, изчислени в съответствие с член 339, параграф 9 от същия регламент. Позицията се разделя по зони 1, 2 и 3, които се разделят по падеж на инструментите.</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ОБЩ РИСК ДЮРАЦИОНЕН ПОДХОД</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дюрационният подход по член 340, параграфи 1—6 от Регламент (ЕС) № 575/2013 и съответните капиталови изисквания, изчислени в съответствие с член 340, параграф 7 от същия регламент. Позицията се разделя по зони 1, 2 и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СПЕЦИФИЧЕН РИСК</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Сборът от стойностите, докладвани в редове 0251, 0325 и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капиталовите изисквания за специфичен риск и съответните капиталови изисквания в съответствие с член 92, параграф 3, буква б), член 335, член 336, параграфи 1, 2 и 3, и членове 337 и 338 от Регламент (ЕС) № 575/2013. Необходимо е да се има предвид и последното изречение от член 327, параграф 1 от същия регламент.</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Капиталово изискване за несекюритизиращи дългови инструменти</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Сборът от стойностите, докладвани в редове 260—321.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Капиталовите изисквания за кредитните деривати за n-то неизпълнение, които не са с присъдена външна кредитна оценка, се изчисляват чрез сумиране на рисковите тегла на референтните субекти (член 332, параграф 1, буква д) и член 332, параграф 1, втора алинея от Регламент (ЕС) № 575/2013 — „подробен преглед“). Кредитните деривати за n-то неизпълнение, които са с присъдена външна кредитна оценка (член 332, параграф 1, трета алинея от Регламент (ЕС) № 575/2013), се докладват отделно в ред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Докладване на позиции, за които се прилага член 336, параграф 3 от Регламент (ЕС) № 575/2013 Съществува специално третиране на облигациите, които отговарят на изискванията за 10 % рисково тегло в банковия портфейл съгласно член 129, параграф 3 от посочения регламент (покрити облигации). Специфичните капиталови изисквания съставляват половината от процентите на втората категория, посочена в таблица 1 от член 336 от Регламент (ЕС) № 575/2013. Тези позиции се разпределят в редове 0280—0300 според остатъчния срок до крайния падеж.</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Когато общият риск на лихвените позиции е хеджиран с кредитен дериват, се прилагат членове 346 и 347 от Регламент (ЕС) №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Капиталово изискване за секюритизиращи инструменти</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lastRenderedPageBreak/>
              <w:t>Общият размер на капиталовите изисквания, докладван в колона 0601 от образец MKR SA SEC. Тези общи капиталови изисквания се докладват в MKR SA TDI само на равнище „общо“.</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портфейла за корелационно търгуване</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Общият размер на капиталовите изисквания, докладван в колона 0450 от образец MKR SA CTP. Тези общи капиталови изисквания се докладват в MKR SA TDI само на равнище „общо“.</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ДОПЪЛНИТЕЛНИ ИЗИСКВАНИЯ ЗА ОПЦИИ (РИСКОВЕ, РАЗЛИЧНИ ОТ ДЕЛТА РИСК)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Член 329, параграф 3 от Регламент (ЕС) №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Допълнителните изисквания за опции, свързани с рискове, различни от делта риск, се докладват с разбивка по метода, използван за изчисляването им.</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895882"/>
      <w:r>
        <w:rPr>
          <w:rFonts w:ascii="Times New Roman" w:hAnsi="Times New Roman"/>
          <w:sz w:val="24"/>
          <w:u w:val="none"/>
        </w:rPr>
        <w:t>3.</w:t>
      </w:r>
      <w:r>
        <w:tab/>
      </w:r>
      <w:r>
        <w:rPr>
          <w:rFonts w:ascii="Times New Roman" w:hAnsi="Times New Roman"/>
          <w:sz w:val="24"/>
        </w:rPr>
        <w:t>C 19.00 — ПАЗАРЕН РИСК: СТАНДАРТИЗИРАН ПОДХОД ЗА СПЕЦИФИЧЕН РИСК В СЕКЮРИТИЗАЦИИ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895883"/>
      <w:r>
        <w:rPr>
          <w:rFonts w:ascii="Times New Roman" w:hAnsi="Times New Roman"/>
          <w:sz w:val="24"/>
          <w:u w:val="none"/>
        </w:rPr>
        <w:t>3.1.</w:t>
      </w:r>
      <w:r>
        <w:tab/>
      </w:r>
      <w:r>
        <w:rPr>
          <w:rFonts w:ascii="Times New Roman" w:hAnsi="Times New Roman"/>
          <w:sz w:val="24"/>
        </w:rPr>
        <w:t>Общи бележки</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В този образец се изисква информация за позициите (всички/нетни и дълги/къси) и свързаните с тях капиталови изисквания, по стандартизирания подход, за компонента за специфичен риск на риска при позициите в секюритизации/пресекюритизации в търговския портфейл (които не са допустими за портфейла за корелационно търгуване). </w:t>
      </w:r>
    </w:p>
    <w:p w14:paraId="2729DF95" w14:textId="1BA228E4" w:rsidR="00FC6275" w:rsidRPr="002D60D7" w:rsidRDefault="00FC6275" w:rsidP="00E172EA">
      <w:pPr>
        <w:pStyle w:val="InstructionsText2"/>
        <w:numPr>
          <w:ilvl w:val="0"/>
          <w:numId w:val="29"/>
        </w:numPr>
        <w:suppressAutoHyphens/>
      </w:pPr>
      <w:r>
        <w:t xml:space="preserve">В образец MKR SA SEC се представят капиталовите изисквания само за специфичния риск при секюритизиращите позиции в съответствие с член 335 от Регламент (ЕС) № 575/2013 във връзка с член 337 от същия регламент. Когато секюритизиращите позиции в търговския портфейл са хеджирани с кредитни деривати, се прилагат членове 346 и 347 от Регламент (ЕС) № 575/2013. Има само един образец за всички позиции в търговския портфейл, независимо от прилагания от инвестиционните посредници подход за определяне на рисковото тегло за всяка позиция в съответствие с трета част, дял II, глава 5 от Регламент (ЕС) № 575/2013. Капиталовите изисквания за общия риск на тези позиции се докладват в образец MKR SA TDI или MKR IM. </w:t>
      </w:r>
    </w:p>
    <w:p w14:paraId="0C732A14" w14:textId="3FF74494" w:rsidR="00FC6275" w:rsidRPr="002D60D7" w:rsidRDefault="00FC6275" w:rsidP="00E172EA">
      <w:pPr>
        <w:pStyle w:val="InstructionsText2"/>
        <w:numPr>
          <w:ilvl w:val="0"/>
          <w:numId w:val="29"/>
        </w:numPr>
        <w:suppressAutoHyphens/>
      </w:pPr>
      <w:r>
        <w:t>Позициите с рисково тегло 1 250 % могат и да се приспаднат от БСК1 (вж. член 244, параграф 1, буква б), член 245, параграф 1, буква б) и член 253 от Регламент (ЕС) № 575/2013). Тези позиции се докладват в настоящия образец, дори ако институцията се възползва от възможността за приспадане.</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895884"/>
      <w:r>
        <w:rPr>
          <w:rFonts w:ascii="Times New Roman" w:hAnsi="Times New Roman"/>
          <w:sz w:val="24"/>
          <w:u w:val="none"/>
        </w:rPr>
        <w:lastRenderedPageBreak/>
        <w:t>3.2.</w:t>
      </w:r>
      <w:r>
        <w:tab/>
      </w:r>
      <w:r>
        <w:rPr>
          <w:rFonts w:ascii="Times New Roman" w:hAnsi="Times New Roman"/>
          <w:sz w:val="24"/>
        </w:rPr>
        <w:t>Указания за конкретни позиции</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503F4241" w14:textId="0DAFF941" w:rsidR="00C55547" w:rsidRPr="002D60D7" w:rsidRDefault="00C55547" w:rsidP="004C445F">
            <w:pPr>
              <w:suppressAutoHyphens/>
              <w:rPr>
                <w:rFonts w:ascii="Times New Roman" w:hAnsi="Times New Roman"/>
                <w:sz w:val="24"/>
              </w:rPr>
            </w:pPr>
            <w:r>
              <w:rPr>
                <w:rStyle w:val="InstructionsTabelleText"/>
                <w:rFonts w:ascii="Times New Roman" w:hAnsi="Times New Roman"/>
                <w:sz w:val="24"/>
              </w:rPr>
              <w:t xml:space="preserve">Член 102 и член 105, параграф 1 от Регламент (ЕС) № 575/2013 във връзка с член 337 от същия регламент (секюритизиращи позиции). Относно разграничението между дълги и къси позиции, което е приложимо и за тези брутни позиции, вж. член 328, параграф 2 от посочения регламент.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ПОЗИЦИИ, ПРИСПАДНАТИ ОТ СОБСТВЕНИТЕ СРЕДСТВА</w:t>
            </w:r>
            <w:r>
              <w:rPr>
                <w:rFonts w:ascii="Times New Roman" w:hAnsi="Times New Roman"/>
                <w:b/>
                <w:sz w:val="24"/>
                <w:u w:val="single"/>
              </w:rPr>
              <w:t xml:space="preserve"> (ДЪЛГИ И КЪСИ)</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Член 244, параграф 1, буква б), член 245, параграф 1, буква б) и член 253</w:t>
            </w:r>
            <w:r>
              <w:rPr>
                <w:rFonts w:ascii="Times New Roman" w:hAnsi="Times New Roman"/>
                <w:sz w:val="24"/>
              </w:rPr>
              <w:t xml:space="preserve"> от Регламент (ЕС) №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НЕТНИ ПОЗИЦИИ</w:t>
            </w:r>
            <w:r>
              <w:rPr>
                <w:rFonts w:ascii="Times New Roman" w:hAnsi="Times New Roman"/>
                <w:b/>
                <w:sz w:val="24"/>
                <w:u w:val="single"/>
              </w:rPr>
              <w:t xml:space="preserve"> (ДЪЛГИ И КЪСИ)</w:t>
            </w:r>
          </w:p>
          <w:p w14:paraId="54C14D76" w14:textId="32F9EC29"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Членове 327, 328, 329 и 334 от Регламент (ЕС) № 575/2013. По отношение на разграничението между дълги и къси позиции, вж. член 328, параграф 2 от посочения регламент.</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НЕТНИТЕ ПОЗИЦИИ ПО РИСКОВИ ТЕГЛА</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Членове 259—262, член 263, таблици 1 и 2, член 264, параграфи 3 и 4 и член 266 от Регламент (ЕС) № 575/2013.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Разбивката се прави поотделно за дългите и за късите позиции.</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НЕТНИТЕ ПОЗИЦИИ ПО ПОДХОДИ</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Член </w:t>
            </w:r>
            <w:r>
              <w:rPr>
                <w:rStyle w:val="InstructionsTabelleText"/>
                <w:rFonts w:ascii="Times New Roman" w:hAnsi="Times New Roman"/>
                <w:sz w:val="24"/>
              </w:rPr>
              <w:t>254</w:t>
            </w:r>
            <w:r>
              <w:rPr>
                <w:rFonts w:ascii="Times New Roman" w:hAnsi="Times New Roman"/>
                <w:sz w:val="24"/>
              </w:rPr>
              <w:t xml:space="preserve"> от Регламент (ЕС) №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Членове 259 и 260</w:t>
            </w:r>
            <w:r>
              <w:rPr>
                <w:rFonts w:ascii="Times New Roman" w:hAnsi="Times New Roman"/>
                <w:sz w:val="24"/>
              </w:rPr>
              <w:t xml:space="preserve"> от Регламент (ЕС) №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Членове 261 и 262</w:t>
            </w:r>
            <w:r>
              <w:rPr>
                <w:rFonts w:ascii="Times New Roman" w:hAnsi="Times New Roman"/>
                <w:sz w:val="24"/>
              </w:rPr>
              <w:t xml:space="preserve"> от Регламент (ЕС) №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Членове 263 и 264</w:t>
            </w:r>
            <w:r>
              <w:rPr>
                <w:rFonts w:ascii="Times New Roman" w:hAnsi="Times New Roman"/>
                <w:sz w:val="24"/>
              </w:rPr>
              <w:t xml:space="preserve"> от Регламент (ЕС) №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ВЪТРЕШНАТА ОЦЕНКА</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Членове 254 и 265 и член 266, параграф 5 от Регламент (ЕС) № 575/2013.</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Член 269a, параграф 3 от Регламент (ЕС) №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(рисково тегло = 1 250</w:t>
            </w:r>
            <w:r>
              <w:t> </w:t>
            </w:r>
            <w:r>
              <w:rPr>
                <w:rFonts w:ascii="Times New Roman" w:hAnsi="Times New Roman"/>
                <w:b/>
                <w:sz w:val="24"/>
                <w:u w:val="single"/>
              </w:rPr>
              <w:t>%)</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Член 254, параграф 7</w:t>
            </w:r>
            <w:r>
              <w:rPr>
                <w:rFonts w:ascii="Times New Roman" w:hAnsi="Times New Roman"/>
                <w:sz w:val="24"/>
              </w:rPr>
              <w:t xml:space="preserve"> от Регламент (ЕС) №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ЦЯЛОСТЕН ЕФЕКТ (КОРЕКЦИЯ) ПОРАДИ НАРУШЕНИЕ НА РАЗПОРЕДБИТЕ НА ГЛАВА 2 ОТ РЕГЛАМЕНТ (ЕС)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Член 270a</w:t>
            </w:r>
            <w:r>
              <w:rPr>
                <w:rFonts w:ascii="Times New Roman" w:hAnsi="Times New Roman"/>
                <w:sz w:val="24"/>
              </w:rPr>
              <w:t xml:space="preserve"> от Регламент (ЕС) №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ПРЕДИ ОГРАНИЧАВАНЕТО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Член 337 от Регламент (ЕС) № 575/2013, без да се взима предвид свободата на преценка, предвидена в член 335 от същия регламент, която позволява на институцията да ограничи произведението на теглото и нетната позиция до максималната възможна загуба при настъпване на риска от неизпълнение.</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СЛЕД ОГРАНИЧАВАНЕТО / ОБЩ РАЗМЕР НА КАПИТАЛОВИТЕ ИЗИСКВАНИЯ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Член 337 от Регламент (ЕС) № 575/2013, като се взима </w:t>
            </w:r>
            <w:r>
              <w:rPr>
                <w:rStyle w:val="InstructionsTabelleText"/>
                <w:rFonts w:ascii="Times New Roman" w:hAnsi="Times New Roman"/>
                <w:sz w:val="24"/>
              </w:rPr>
              <w:t>предвид</w:t>
            </w:r>
            <w:r>
              <w:rPr>
                <w:rFonts w:ascii="Times New Roman" w:hAnsi="Times New Roman"/>
                <w:sz w:val="24"/>
              </w:rPr>
              <w:t xml:space="preserve"> свободата на преценка по член 335 от същия регламент.</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ОБЩО ЕКСПОЗИЦИИ</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Общият размер на неуредените секюритизации и пресекюритизации (в търговския портфейл), докладван от институцията, чиято роля е на инициатор или инвеститор или спонсор.</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и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СЕКЮРИТИЗИРАЩИ ПОЗИЦИИ</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Член 4, параграф 1, точка 62 от Регламент (ЕС) №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и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ПРЕСЕКЮРИТИЗИРАЩИ ПОЗИЦИИ</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Член 4, параграф 1, точка 64 от Регламент (ЕС) №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и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В Т.Ч.: ДОПУСТИМИ ЗА ДИФЕРЕНЦИРАНО ТРЕТИРАНЕ НА КАПИТАЛА</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Общият размер на секюритизиращите позиции, които отговарят на критериите по член 243 или член 270 от Регламент (ЕС) № 575/2013 и оттам – на условията за диференцирано третиране на капитала.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ИНИЦИАТОР</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Член 4, параграф 1, точка 13 от Регламент (ЕС) №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ИНВЕСТИТОР</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Кредитна институция, която държи секюритизиращи позиции в секюритизационна сделка, по отношение на които институцията не е нито инициатор, нито спонсор, нито първоначален кредитор.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СПОНСОР</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Член 4, параграф 1, точка 14 от Регламент (ЕС) №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895885"/>
      <w:r>
        <w:rPr>
          <w:rFonts w:ascii="Times New Roman" w:hAnsi="Times New Roman"/>
          <w:sz w:val="24"/>
          <w:u w:val="none"/>
        </w:rPr>
        <w:t>4.</w:t>
      </w:r>
      <w:r>
        <w:tab/>
      </w:r>
      <w:r>
        <w:rPr>
          <w:rFonts w:ascii="Times New Roman" w:hAnsi="Times New Roman"/>
          <w:sz w:val="24"/>
        </w:rPr>
        <w:t>C 20.00 — ПАЗАРЕН РИСК: СТАНДАРТИЗИРАН ПОДХОД ЗА СПЕЦИФИЧЕН РИСК ЗА ПОЗИЦИИТЕ, ОТНЕСЕНИ КЪМ ПОРТФЕЙЛА ЗА КОРЕЛАЦИОННО ТЪРГУВАНЕ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895886"/>
      <w:r>
        <w:rPr>
          <w:rFonts w:ascii="Times New Roman" w:hAnsi="Times New Roman"/>
          <w:sz w:val="24"/>
          <w:u w:val="none"/>
        </w:rPr>
        <w:t>4.1.</w:t>
      </w:r>
      <w:r>
        <w:tab/>
      </w:r>
      <w:r>
        <w:rPr>
          <w:rFonts w:ascii="Times New Roman" w:hAnsi="Times New Roman"/>
          <w:sz w:val="24"/>
        </w:rPr>
        <w:t>Общи бележки</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В този образец се изисква информация за позициите от портфейла за корелационно търгуване (състоящ се от секюритизации, кредитни деривати за n-то неизпълнение и други позиции от портфейла за корелационно търгуване, включени в съответствие с член 338, параграф 3 от Регламент (ЕС) № 575/2013, и за съответните капиталови изисквания съгласно стандартизирания подход.</w:t>
      </w:r>
    </w:p>
    <w:p w14:paraId="7D9D9B10" w14:textId="1F1EFDEB" w:rsidR="00C55547" w:rsidRPr="002D60D7" w:rsidRDefault="00C55547" w:rsidP="00E172EA">
      <w:pPr>
        <w:pStyle w:val="InstructionsText2"/>
        <w:numPr>
          <w:ilvl w:val="0"/>
          <w:numId w:val="29"/>
        </w:numPr>
        <w:suppressAutoHyphens/>
      </w:pPr>
      <w:r>
        <w:t>В образец MKR SA CTP се посочват капиталовите изисквания само за специфичния риск при позициите, отнесени към портфейла за корелационно търгуване, в съответствие с член 335 от Регламент (ЕС) № 575/2013 във връзка с член 338, параграфи 2 и 3 от същия регламент. Когато позициите в портфейла за корелационно търгуване от търговския портфейл са хеджирани с кредитни деривати, се прилагат членове 346 и 347 от Регламент (ЕС) № 575/2013. Има само един образец за всички позиции в портфейла за корелационно търгуване от търговския портфейл, независимо от прилагания от инвестиционните посредници подход за определяне на рисковото тегло за всяка позиция в съответствие с трета част, дял II, глава 5 от Регламент (ЕС) № 575/2013. Капиталовите изисквания за общия риск на тези позиции се докладват в образец MKR SA TDI или в образец MKR IM.</w:t>
      </w:r>
    </w:p>
    <w:p w14:paraId="2252BE4F" w14:textId="4513CABA" w:rsidR="00C55547" w:rsidRPr="002D60D7" w:rsidRDefault="00C55547" w:rsidP="00E172EA">
      <w:pPr>
        <w:pStyle w:val="InstructionsText2"/>
        <w:numPr>
          <w:ilvl w:val="0"/>
          <w:numId w:val="29"/>
        </w:numPr>
        <w:suppressAutoHyphens/>
      </w:pPr>
      <w:r>
        <w:t xml:space="preserve">В този образец са разделени секюритизиращите позиции, кредитните деривати за n-то неизпълнение и другите позиции от портфейла за корелационно търгуване. Секюритизиращите позиции винаги се докладват в редове 0030, 0060 или 0090 (в зависимост от ролята на институцията в секюритизацията). Кредитните деривати за n-то неизпълнение винаги се докладват в ред 0110. „Другите позиции от портфейла за корелационно търгуване“ са позициите, които не са нито секюритизиращи позиции, нито кредитни деривати за n-то неизпълнение (вж. член 338, параграф 3 от Регламент (ЕС) № 575/2013), но са явно „свързани“ с една от тези две позиции (поради намерението за хеджиране). </w:t>
      </w:r>
    </w:p>
    <w:p w14:paraId="5B5B9C2A" w14:textId="127C8328" w:rsidR="00C55547" w:rsidRPr="002D60D7" w:rsidRDefault="00C55547" w:rsidP="00E172EA">
      <w:pPr>
        <w:pStyle w:val="InstructionsText2"/>
        <w:numPr>
          <w:ilvl w:val="0"/>
          <w:numId w:val="29"/>
        </w:numPr>
        <w:suppressAutoHyphens/>
      </w:pPr>
      <w:r>
        <w:t>Позициите с рисково тегло 1 250 % могат и да се приспаднат от БСК1 (вж. член 244, параграф 1, буква б), член 245, параграф 1, буква б) и член 253 от Регламент (ЕС) № 575/2013). Тези позиции се докладват в настоящия образец, дори ако институцията се възползва от възможността за приспадане.</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895887"/>
      <w:r>
        <w:rPr>
          <w:rFonts w:ascii="Times New Roman" w:hAnsi="Times New Roman"/>
          <w:sz w:val="24"/>
          <w:u w:val="none"/>
        </w:rPr>
        <w:lastRenderedPageBreak/>
        <w:t>4.2.</w:t>
      </w:r>
      <w:r>
        <w:tab/>
      </w:r>
      <w:r>
        <w:rPr>
          <w:rFonts w:ascii="Times New Roman" w:hAnsi="Times New Roman"/>
          <w:sz w:val="24"/>
        </w:rPr>
        <w:t>Указания за конкретни позиции</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ВСИЧКИ ПОЗИЦИИ (ДЪЛГИ И КЪСИ)</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Член 102 и член 105, параграф 1 от Регламент (ЕС) № 575/2013 във връзка с член 338, параграфи 2 и 3 от същия регламент (позициите, отнесени към портфейла за корелационно търгуване).</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Регламент (ЕС) №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ПОЗИЦИИ, ПРИСПАДНАТИ ОТ СОБСТВЕНИТЕ СРЕДСТВА (ДЪЛГИ И КЪСИ)</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Член 253 от Регламент (ЕС) №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НЕТНИ ПОЗИЦИИ (ДЪЛГИ И КЪСИ)</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Членове 327, 328, 329 и 334 от Регламент (ЕС) №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По отношение на разграничението между дълги и къси позиции вж. член 328, параграф 2 от посочения регламент.</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РАЗБИВКА НА НЕТНИТЕ ПОЗИЦИИ ПО РИСКОВИ ТЕГЛА</w:t>
            </w:r>
          </w:p>
          <w:p w14:paraId="691F4414" w14:textId="75A08501" w:rsidR="00C55547" w:rsidRPr="002D60D7" w:rsidRDefault="00133396" w:rsidP="004C445F">
            <w:pPr>
              <w:suppressAutoHyphens/>
              <w:rPr>
                <w:rFonts w:ascii="Times New Roman" w:hAnsi="Times New Roman"/>
                <w:sz w:val="24"/>
              </w:rPr>
            </w:pPr>
            <w:r>
              <w:rPr>
                <w:rFonts w:ascii="Times New Roman" w:hAnsi="Times New Roman"/>
                <w:sz w:val="24"/>
              </w:rPr>
              <w:t>Членове 259—262, член 263, таблици 1 и 2, член 264, параграфи 3 и 4 и член 266 от Регламент (ЕС) №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НЕТНИТЕ ПОЗИЦИИ ПО ПОДХОДИ</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Член 254</w:t>
            </w:r>
            <w:r>
              <w:rPr>
                <w:rFonts w:ascii="Times New Roman" w:hAnsi="Times New Roman"/>
                <w:sz w:val="24"/>
              </w:rPr>
              <w:t xml:space="preserve"> от Регламент (ЕС) №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259 и 260</w:t>
            </w:r>
            <w:r>
              <w:rPr>
                <w:rFonts w:ascii="Times New Roman" w:hAnsi="Times New Roman"/>
                <w:sz w:val="24"/>
              </w:rPr>
              <w:t xml:space="preserve"> от Регламент (ЕС) №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261 и 262</w:t>
            </w:r>
            <w:r>
              <w:rPr>
                <w:rFonts w:ascii="Times New Roman" w:hAnsi="Times New Roman"/>
                <w:sz w:val="24"/>
              </w:rPr>
              <w:t xml:space="preserve"> от Регламент (ЕС) №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263 и 264</w:t>
            </w:r>
            <w:r>
              <w:rPr>
                <w:rFonts w:ascii="Times New Roman" w:hAnsi="Times New Roman"/>
                <w:sz w:val="24"/>
              </w:rPr>
              <w:t xml:space="preserve"> от Регламент (ЕС) №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ВЪТРЕШНАТА ОЦЕНКА</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254 и 265 и член 266, параграф 5</w:t>
            </w:r>
            <w:r>
              <w:rPr>
                <w:rFonts w:ascii="Times New Roman" w:hAnsi="Times New Roman"/>
                <w:sz w:val="24"/>
              </w:rPr>
              <w:t xml:space="preserve"> от Регламент (ЕС) №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СПЕЦИФИЧНО ТРЕТИРАНЕ НА ПЪРВОСТЕПЕННИТЕ ТРАНШОВЕ ПО КВАЛИФИЦИРАНИ СЕКЮРИТИЗАЦИИ НА НЕОБСЛУЖВАНИ ЕКСПОЗИЦИИ</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Член </w:t>
            </w:r>
            <w:r>
              <w:rPr>
                <w:rStyle w:val="InstructionsTabelleText"/>
                <w:rFonts w:ascii="Times New Roman" w:hAnsi="Times New Roman"/>
                <w:sz w:val="24"/>
              </w:rPr>
              <w:t>269a</w:t>
            </w:r>
            <w:r>
              <w:rPr>
                <w:rFonts w:ascii="Times New Roman" w:hAnsi="Times New Roman"/>
                <w:sz w:val="24"/>
              </w:rPr>
              <w:t>, параграф 3 от Регламент (ЕС) №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(рисково тегло = 1 250</w:t>
            </w:r>
            <w:r>
              <w:t>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lastRenderedPageBreak/>
              <w:t>Член 254, параграф 7</w:t>
            </w:r>
            <w:r>
              <w:rPr>
                <w:rFonts w:ascii="Times New Roman" w:hAnsi="Times New Roman"/>
                <w:sz w:val="24"/>
              </w:rPr>
              <w:t xml:space="preserve"> от Регламент (ЕС) №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ПРЕДИ ОГРАНИЧАВАНЕТО — ПРЕТЕГЛЕНИ НЕТНИ ДЪЛГИ/КЪСИ ПОЗИЦИИ</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Член 338 от Регламент (ЕС) № 575/2013, без да се взима предвид свободата на преценка по член 335 от същия регламент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СЛЕД ОГРАНИЧАВАНЕТО — ПРЕТЕГЛЕНИ НЕТНИ ДЪЛГИ/КЪСИ ПОЗИЦИИ</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Член 338 от Регламент (ЕС) № 575/2013, като се взима предвид свободата на преценка по член 335 от същия регламент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ОБЩО КАПИТАЛОВИ ИЗИСКВАНИЯ</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Капиталовото изискване се определя като по-голямото от следните:</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а) изискването за специфичен риск, което би се прилагало само за нетните дълги позиции (колона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б) изискването за специфичен риск, което би се прилагало само за нетните къси позиции (колона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8056"/>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ОБЩО ЕКСПОЗИЦИИ</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Общият размер на неуредените позиции (държани в портфейла за корелационно търгуване), докладвана от институциите, които имат роля на инициатор, инвеститор или спонсор.</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ИНИЦИАТОР</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Член 4, параграф 1, точка 13 от Регламент (ЕС) №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ИНВЕСТИТОР</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Кредитна институция, която държи секюритизиращи позиции в секюритизационна сделка, по отношение на които тя не е нито инициатор, нито спонсор, нито първоначален кредитор.</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СПОНСОР</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Член 4, параграф 1, точка 14 от Регламент (ЕС) №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 0060 и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СЕКЮРИТИЗИРАЩИ ПОЗИЦИИ</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Портфейлът за корелационно търгуване се състои от секюритизации, кредитни деривати за n-то неизпълнение и евентуални други позиции за хеджиране, които изпълняват критериите в член 338, параграфи 2 и 3 от Регламент (ЕС) №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Дериватите на секюритизиращите експозиции, осигуряващи пропорционален дял, както и позициите за хеджиране на портфейла за корелационно търгуване, се включват в реда „Други позиции в портфейла за корелационно търгуване“.</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КРЕДИТНИ ДЕРИВАТИ ЗА N-ТО НЕИЗПЪЛНЕНИЕ</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Тук се докладват кредитните деривати за n-то неизпълнение, които са хеджирани с кредитни деривати за n-то неизпълнение в съответствие с член 347 от Регламент (ЕС) № 575/2013.</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Инициаторът, инвеститорът или спонсорът на позициите не са подходящи за кредитни деривати за n-то неизпълнение. Вследствие на това, за кредитните деривати за n-то неизпълнение не може да се направи разбивка, както за секюритизиращите позиции.</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и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ДРУГИ ПОЗИЦИИ В ПОРТФЕЙЛА ЗА КОРЕЛАЦИОННО ТЪРГУВАНЕ</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Включват се следните позиции: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дериватите на секюритизиращи експозиции, осигуряващи пропорционален дял, както и позиции за хеджиране на портфейла за корелационно търгуване;</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позициите от портфейла за корелационно търгуване, хеджирани с кредитни деривати в съответствие с член 346 от Регламент (ЕС) №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другите позиции, които отговарят на изискванията на член 338, параграф 3 от Регламент (ЕС) №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895888"/>
      <w:r>
        <w:rPr>
          <w:rFonts w:ascii="Times New Roman" w:hAnsi="Times New Roman"/>
          <w:sz w:val="24"/>
          <w:u w:val="none"/>
        </w:rPr>
        <w:t>5.</w:t>
      </w:r>
      <w:r>
        <w:tab/>
      </w:r>
      <w:r>
        <w:rPr>
          <w:rFonts w:ascii="Times New Roman" w:hAnsi="Times New Roman"/>
          <w:sz w:val="24"/>
        </w:rPr>
        <w:t>C 21.00 — Пазарен риск: Стандартизиран подход за риск във връзка с позициите в капиталови инструменти</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895889"/>
      <w:r>
        <w:rPr>
          <w:rFonts w:ascii="Times New Roman" w:hAnsi="Times New Roman"/>
          <w:sz w:val="24"/>
          <w:u w:val="none"/>
        </w:rPr>
        <w:t>5.1.</w:t>
      </w:r>
      <w:r>
        <w:tab/>
      </w:r>
      <w:r>
        <w:rPr>
          <w:rFonts w:ascii="Times New Roman" w:hAnsi="Times New Roman"/>
          <w:sz w:val="24"/>
        </w:rPr>
        <w:t>Общи бележки</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С този образец се изисква информация за позициите и съответните капиталови изисквания с оглед на риска при позициите в капиталови инструменти, държани в търговския портфейл и третирани по стандартизирания подход.</w:t>
      </w:r>
    </w:p>
    <w:p w14:paraId="3AF5EC7C" w14:textId="570FEDBA" w:rsidR="00B828CC" w:rsidRPr="002D60D7" w:rsidRDefault="000B0B09" w:rsidP="00E172EA">
      <w:pPr>
        <w:pStyle w:val="InstructionsText2"/>
        <w:numPr>
          <w:ilvl w:val="0"/>
          <w:numId w:val="29"/>
        </w:numPr>
        <w:suppressAutoHyphens/>
      </w:pPr>
      <w:r>
        <w:t xml:space="preserve">Образецът се попълва отделно за „Total“ („Общо“) и за предварително определен списък на следните пазари: България, Чешката Република, Дания, Египет, Унгария, Исландия, Лихтенщайн, Норвегия, Полша, Румъния, Швеция, Обединеното кралство, Албания, Япония, Бившата </w:t>
      </w:r>
      <w:r>
        <w:lastRenderedPageBreak/>
        <w:t>югославска република Македония, Руската федерация, Сърбия, Швейцария, Турция, Украйна, САЩ, еврозоната и един допълнителен образец за всички останали пазари. Във връзка с това изискване за докладване терминът „пазар“ се разбира като „държава“ (с изключение на държавите от Европейското икономическо пространство, вж. Делегиран регламент (ЕС) № 525/2014 на Комисията</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895890"/>
      <w:r>
        <w:rPr>
          <w:rFonts w:ascii="Times New Roman" w:hAnsi="Times New Roman"/>
          <w:sz w:val="24"/>
          <w:u w:val="none"/>
        </w:rPr>
        <w:t>5.2.</w:t>
      </w:r>
      <w:r>
        <w:tab/>
      </w:r>
      <w:r>
        <w:rPr>
          <w:rFonts w:ascii="Times New Roman" w:hAnsi="Times New Roman"/>
          <w:sz w:val="24"/>
        </w:rPr>
        <w:t>Указания за конкретни позиции</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ВСИЧКИ ПОЗИЦИИ (ДЪЛГИ И КЪСИ)</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Член 102 и член 105, параграф 1 от Регламент (ЕС) №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Това са брутните позиции, които не са нетирани по инструменти и които обаче, в съответствие с член 345, параграф 1, първа алинея, второ изречение от посочения регламент, не включват поетите позиции, записани или препоети от трети лица.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Членове 327, 329, 332, 341 и 345 от Регламент (ЕС) №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Това са нетните позиции, които съгласно изложените в трета част, дял IV, глава 2 от Регламент (ЕС) № 575/2013 подходи подлежат на капиталови изисквания. Капиталовите изисквания се изчисляват поотделно за всеки национален пазар. По силата на член 344, параграф 4, второ изречение от Регламент (ЕС) № 575/2013, в тази колона не се включват позициите във фючърси върху борсови индекси.</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Капиталовото изискване в съответствие с част трета, дял IV, глава 2 от Регламент (ЕС) № 575/2013 за всички съответни позиции.</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Член 92, параграф 6, буква б) от Регламент (ЕС) №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Произведението на капиталовите изисквания и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8056"/>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В ТЪРГОВСКИЯ ПОРТФЕЙЛ</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Капиталовите изисквания за позиционен риск съгласно посоченото в член 92, параграф 3, буква б), подточка i) от Регламент (ЕС) № 575/2013 и част трета, дял IV, глава 2, раздел 3 от същия регламент.</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РИСК</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Позициите в капиталови инструменти, изложени на общ риск, (член 343 от Регламент (ЕС) № 575/2013) и съответните им капиталови изисквания в съответствие с трета част, дял IV, глава 2, раздел 3 от същия регламент.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И двете разбивки (редове 0021/0022 и редове 0030/0040) са свързани с всички позиции с експозиция към общ риск.</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В редове 0021 и 0022 се изисква информация за разбивката по инструменти.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За основа на изчисляването на капиталовите изисквания служи само разбивката в редове 0030 и 0040.</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Деривати</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Дериватите, включени в изчисляването на капиталовия риск при позиции в търговския портфейл, като се взимат предвид членове 329—332 от Регламент (ЕС) № 575/2013, когато е приложимо.</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Други активи и пасиви</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Инструментите, които не са деривати и които са включени в изчисляването на капиталовия риск при позициите в търговския портфейл.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на борсата, широко диверсифицирани фючърси върху борсови индекси, към които се прилага специфичният подход</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Търгуваните на борсата, широко диверсифицирани фючърси върху борсови индекси, които подлежат на специфичен подход в съответствие с Регламент за изпълнение (ЕС) № 945/2014 на Комисията</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Тези позиции са изложени само на общ риск и съответно не се докладват в ред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капиталови инструменти, различни от търгувани на борсата, широко диверсифицирани фючърси върху борсови индекси</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Други позиции в капиталови инструменти, изложени на специфичен риск, както и съответните капиталови изисквания съгласно член 343 от Регламент (ЕС) № 575/2013, включително позициите във фючърси върху борсови индекси, третирани в съответствие с член 344, параграф 3 от същия регламент.</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СПЕЦИФИЧЕН РИСК</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Позициите в капиталови инструменти, изложени на специфичен риск, и съответното капиталово изискване съгласно член 342 от Регламент (ЕС) № 575/2013, без позициите във фючърси върху борсови индекси, третирани в съответствие с член 344, параграф 4, второ изречение от същия регламент.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Член 329, параграфи 2 и 3 от Регламент (ЕС) №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895891"/>
      <w:r>
        <w:rPr>
          <w:rFonts w:ascii="Times New Roman" w:hAnsi="Times New Roman"/>
          <w:sz w:val="24"/>
          <w:u w:val="none"/>
        </w:rPr>
        <w:t>6.</w:t>
      </w:r>
      <w:r>
        <w:tab/>
      </w:r>
      <w:r>
        <w:rPr>
          <w:rFonts w:ascii="Times New Roman" w:hAnsi="Times New Roman"/>
          <w:sz w:val="24"/>
        </w:rPr>
        <w:t>C 22.00 — Пазарен риск: Стандартизирани подходи за валутен риск</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895892"/>
      <w:r>
        <w:rPr>
          <w:rFonts w:ascii="Times New Roman" w:hAnsi="Times New Roman"/>
          <w:sz w:val="24"/>
          <w:u w:val="none"/>
        </w:rPr>
        <w:t>6.1.</w:t>
      </w:r>
      <w:r>
        <w:tab/>
      </w:r>
      <w:r>
        <w:rPr>
          <w:rFonts w:ascii="Times New Roman" w:hAnsi="Times New Roman"/>
          <w:sz w:val="24"/>
        </w:rPr>
        <w:t>Общи бележки</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В този образец инвестиционните посредници докладват информация за позициите във всяка валута (включително отчетната валута) и за съответните капиталови изисквания за валутен риск по стандартизирания подход. Позициите се изчисляват за всяка валута (в т.ч. евро), злато и за позициите в ПКИ.</w:t>
      </w:r>
    </w:p>
    <w:p w14:paraId="39EF826C" w14:textId="60814CC7" w:rsidR="000B0B09" w:rsidRPr="002D60D7" w:rsidRDefault="00B31D8A" w:rsidP="00E172EA">
      <w:pPr>
        <w:pStyle w:val="InstructionsText2"/>
        <w:numPr>
          <w:ilvl w:val="0"/>
          <w:numId w:val="29"/>
        </w:numPr>
        <w:suppressAutoHyphens/>
      </w:pPr>
      <w:r>
        <w:t>Редове 0100—0470 от настоящия образец се докладват, когато на инвестиционните посредници е разрешено да извършват дейност 3 или 6 от раздел А от приложение I към Директива 2014/65/ЕС на Европейския парламент и на Съвета</w:t>
      </w:r>
      <w:r>
        <w:rPr>
          <w:rStyle w:val="FootnoteReference"/>
        </w:rPr>
        <w:footnoteReference w:id="4"/>
      </w:r>
      <w:r>
        <w:t>, дори ако от тях не се изисква да изчисляват капиталовите изисквания за валутен риск в съответствие с член 351 от Регламент (ЕС) № 575/2013. В поясняващите позиции, в редове 0100—0470 се включват всички позиции в отчетната валута, независимо дали са взети предвид за целите на член 354 от Регламент (ЕС) № 575/2013. Редове 0130—0470 от поясняващите позиции в образеца се попълват отделно за всички валути на държавите членки на Съюза, за валутите GBP, USD, CHF, JPY, RUB, TRY, AUD, CAD, RSD, ALL, UAH, MKD, EGP, ARS, BRL, MXN, HKD, ICK, TWD, NZD, NOK, SGD, KRW, CNY и за всички останали валути.</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895893"/>
      <w:r>
        <w:rPr>
          <w:rFonts w:ascii="Times New Roman" w:hAnsi="Times New Roman"/>
          <w:sz w:val="24"/>
          <w:u w:val="none"/>
        </w:rPr>
        <w:t>6.2.</w:t>
      </w:r>
      <w:r>
        <w:tab/>
      </w:r>
      <w:r>
        <w:rPr>
          <w:rFonts w:ascii="Times New Roman" w:hAnsi="Times New Roman"/>
          <w:sz w:val="24"/>
        </w:rPr>
        <w:t>Указания за конкретни позиции</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Брутните позиции, произтичащи от активи, суми, които трябва да бъдат получени, и подобни позиции, посочени в член 352, параграф 1 от Регламент (ЕС) №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В съответствие с член 352, параграф 2 от Регламент (ЕС) № 575/2013 и след разрешение от компетентния орган не се докладват позициите, поети за хеджиране на неблагоприятния ефект от валутния курс върху отношенията по член 92, параграф 1 от същия регламент, нито позициите, свързани с елементи, които вече са били приспаднати при изчисляването на собствените средства.</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Член 352, параграф 3, член 352, параграф 4, първите две изречения и член 353 от Регламент (ЕС) №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Нетните позиции се изчисляват за всяка валута в съответствие с член 352, параграф 1 от посочения регламент. Следователно, дългите и късите позиции могат да се докладват едновременно.</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Член 352, параграф 4, трето изречение и членове 353 и 354 от Регламент (ЕС) №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ПОЗИЦИИ, ПОДЛЕЖАЩИ НА КАПИТАЛОВИ ИЗИСКВАНИЯ (ДЪЛГИ И КЪСИ)</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Дългите и късите нетни позиции за всяка валута се изчисляват, като от общия размер на дългите позиции се извади общият размер на късите позиции.</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Дългите нетни позиции за всяка операция в дадена валута се сумират, за да се получи дългата нетна позиция за тази валута.</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Късите нетни позиции за всяка операция в дадена валута се сумират, за да се получи късата нетна позиция за тази валута.</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Несъчетаните позиции във валути, различни от докладваните, се добавят към позициите, спрямо които се прилагат капиталови изисквания за други валути (ред 030), в колона 060 или 070 в зависимост от това дали са къси, или дълги.</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 (СЪЧЕТАНИ ПОЗИЦИИ)</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Съчетаните позиции за валути с висока взаимосвързаност.</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Капиталовите изисквания за всички съответни позиции съгласно трета част, дял IV, глава 3 от Регламент (ЕС) №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Член 92, параграф 6, буква б) от Регламент (ЕС) №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Произведението на капиталовите изисквания и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Всички позиции в неотчетни валути и позиции в отчетната валута, които са взети предвид за целите на член 354 от Регламент (ЕС) № 575/2013, както и съответните им капиталови изисквания за валутен риск, посочени в член 92, параграф 3, буква в), подточка i) от същия регламент, като се вземе предвид член 352, параграфи 2 и 4 от Регламент (ЕС) № 575/2013 (за конвертиране в отчетната валута).</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ВАЛУТИ С ВИСОКА ВЗАИМНОСВЪРЗАНОСТ</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им капиталови изисквания за валути с висока взаимосвързаност съгласно посоченото в член 354 от Регламент (ЕС) №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Валути с висока взаимосвързаност: </w:t>
            </w:r>
            <w:r>
              <w:rPr>
                <w:rFonts w:ascii="Times New Roman" w:hAnsi="Times New Roman"/>
                <w:b/>
                <w:i/>
                <w:sz w:val="24"/>
                <w:u w:val="single"/>
              </w:rPr>
              <w:t>в т.ч.</w:t>
            </w:r>
            <w:r>
              <w:rPr>
                <w:rFonts w:ascii="Times New Roman" w:hAnsi="Times New Roman"/>
                <w:b/>
                <w:sz w:val="24"/>
                <w:u w:val="single"/>
              </w:rPr>
              <w:t>: отчетна валута</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Позициите в отчетната валута, които участват в изчисляването на капиталовите изисквания в съответствие с член 354 от Регламент (ЕС) №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ДРУГИ ВАЛУТИ (включително ПКИ, третирани като различни валути)</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капиталови изисквания за валутите, за които се прилага общата процедура, предвидена в член 351 и член 352, параграфи 2 и 4 от Регламент (ЕС) №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Докладване на ПКИ, третирани като отделни валути в съответствие с член 353 от Регламент (ЕС) №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Има два различни начина за третиране на ПКИ като отделни валути за изчисляване на капиталовите изисквания:</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а) модифицираният метод на златото, когато посоката на инвестицията на ПКИ не е известна (тези ПКИ се добавят към цялостната нетна валутна позиция на институцията);</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б) когато посоката на инвестицията на ПКИ е известна, тези ПКИ се добавят към общата открита валутна позиция (дълга или къса в зависимост от посоката на ПКИ).</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Докладването на тези ПКИ следва изчисляването на капиталовите изисквания.</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ЗЛАТО</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и съответните капиталови изисквания за валутите, за които се прилага общата процедура, предвидена в член 351 и член 352, параграфи 2 и 4 от Регламент (ЕС) №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Член 352, параграфи 5 и 6 от Регламент (ЕС) №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Допълнителните изисквания за опции, свързани с рискове, различни от делта риск, се докладват с разбивка по метода, използван за изчисляването им.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Разбивка на общата стойност на позициите (включително отчетната валута) по видове експозиции</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Общата стойност на позициите се представя в разбивка по деривати, други активи и пасиви и задбалансови позиции.</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Други активи и пасиви, различни от задбалансовите позиции и деривати</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Тук се включват позициите, които не са включени в ред 0110 или 0120.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Задбалансови позиции</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Позициите в обхвата на член 352 от Регламент (ЕС) № 575/2013, независимо от тяхната валута, които са включени в приложение I към същия регламент, с изключение на включените като сделки за финансиране с ценни книжа и сделки с удължен сетълмент или от договорни споразумения за кръстосано нетиране на продукти.</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Деривати</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Позиции, оценени в съответствие с член 352 от Регламент (ЕС) №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ПОЯСНЯВАЩИ ПОЗИЦИИ: ВАЛУТНИ ПОЗИЦИИ</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Поясняващите позиции в образеца се попълват отделно за всички валути на държавите членки на Съюза, за валутите GBP, USD, CHF, JPY, RUB, TRY, AUD, CAD, RSD, ALL, UAH, MKD, EGP, ARS, BRL, MXN, HKD, ICK, TWD, NZD, NOK, SGD, KRW, CNY и за всички останали валути.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В ред 0470 се включват позициите в злато и позициите в ПКИ, третирани като отделна валута в съответствие с член 353, параграф 3 от Регламент (ЕС) № 575/2013.</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895894"/>
      <w:r>
        <w:rPr>
          <w:rFonts w:ascii="Times New Roman" w:hAnsi="Times New Roman"/>
          <w:sz w:val="24"/>
          <w:u w:val="none"/>
        </w:rPr>
        <w:t>7.</w:t>
      </w:r>
      <w:r>
        <w:tab/>
      </w:r>
      <w:r>
        <w:rPr>
          <w:rFonts w:ascii="Times New Roman" w:hAnsi="Times New Roman"/>
          <w:sz w:val="24"/>
        </w:rPr>
        <w:t>C 23.00 — Пазарен риск: Стандартизирани подходи за стоки</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895895"/>
      <w:r>
        <w:rPr>
          <w:rFonts w:ascii="Times New Roman" w:hAnsi="Times New Roman"/>
          <w:sz w:val="24"/>
          <w:u w:val="none"/>
        </w:rPr>
        <w:t>7.1.</w:t>
      </w:r>
      <w:r>
        <w:tab/>
      </w:r>
      <w:r>
        <w:rPr>
          <w:rFonts w:ascii="Times New Roman" w:hAnsi="Times New Roman"/>
          <w:sz w:val="24"/>
        </w:rPr>
        <w:t>Общи бележки</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В този образец се изисква информация за позициите в стоки и съответните капиталови изисквания по стандартизирания подход.</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895896"/>
      <w:r>
        <w:rPr>
          <w:rFonts w:ascii="Times New Roman" w:hAnsi="Times New Roman"/>
          <w:sz w:val="24"/>
          <w:u w:val="none"/>
        </w:rPr>
        <w:lastRenderedPageBreak/>
        <w:t>7.2.</w:t>
      </w:r>
      <w:r>
        <w:tab/>
      </w:r>
      <w:r>
        <w:rPr>
          <w:rFonts w:ascii="Times New Roman" w:hAnsi="Times New Roman"/>
          <w:sz w:val="24"/>
        </w:rPr>
        <w:t>Указания за конкретни позиции</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ВСИЧКИ ПОЗИЦИИ (ДЪЛГИ И КЪСИ)</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Брутните дълги/къси позиции, считани за позиции в една и съща стока в съответствие с член 357, параграф 4 от Регламент (ЕС) № 575/2013 (вж. също и член 359, параграф 1 от същия регламент)</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НЕТНИ ПОЗИЦИИ (ДЪЛГИ И КЪСИ)</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Както е посочено в член 357, параграф 3 от Регламент (ЕС) №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ПОДЛЕЖАЩИ НА КАПИТАЛОВИ ИЗИСКВАНИЯ</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Това са нетните позиции, които съгласно изложените в трета част, дял IV, глава 4 от Регламент (ЕС) № 575/2013 подходи подлежат на капиталови изисквания.</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Капиталовото изискване, изчислено в съответствие с част трета, дял IV, глава 4 от Регламент (ЕС) № 575/2013 за всички съответни позиции.</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Член 92, параграф 6, буква б) от Регламент (ЕС) №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Произведението на капиталовите изисквания и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 В СТОКИ</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Позициите в стоки и съответните капиталови изисквания за пазарен риск, изчислени съгласно член 92, параграф 4, буква в) от Регламент (ЕС) № 575/2013 и трета част, дял IV, глава 4 от същия регламент.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ПОЗИЦИИ ПО КАТЕГОРИИ СТОКИ</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За целите на докладването стоките се разпределят в четирите стокови групи, посочени в таблица 2 в член 361 от Регламент (ЕС) №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ПОДХОД НА ПАДЕЖНАТА СТЪЛБИЦА</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Позициите в стоки, за които се прилага подходът на падежната стълбица по член 359 от Регламент (ЕС) №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РАЗШИРЕН ПОДХОД НА ПАДЕЖНАТА СТЪЛБИЦА</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Позициите в стоки, за които се прилага разширеният подход на падежната стълбица по член 361 от Регламент (ЕС) №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ОПРОСТЕН ПОДХОД</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в стоки, за които се прилага опростеният подход на падежната стълбица по член 360 от Регламент (ЕС) №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Член 358, параграф 4 от Регламент (ЕС) №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895897"/>
      <w:r>
        <w:rPr>
          <w:rFonts w:ascii="Times New Roman" w:hAnsi="Times New Roman"/>
          <w:sz w:val="24"/>
        </w:rPr>
        <w:t>8.</w:t>
      </w:r>
      <w:r>
        <w:tab/>
      </w:r>
      <w:r>
        <w:rPr>
          <w:rFonts w:ascii="Times New Roman" w:hAnsi="Times New Roman"/>
          <w:sz w:val="24"/>
        </w:rPr>
        <w:t>C 24.00 - Вътрешен модел за пазарен риск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895898"/>
      <w:r>
        <w:rPr>
          <w:rFonts w:ascii="Times New Roman" w:hAnsi="Times New Roman"/>
          <w:sz w:val="24"/>
          <w:u w:val="none"/>
        </w:rPr>
        <w:t>8.1.</w:t>
      </w:r>
      <w:r>
        <w:tab/>
      </w:r>
      <w:r>
        <w:rPr>
          <w:rFonts w:ascii="Times New Roman" w:hAnsi="Times New Roman"/>
          <w:sz w:val="24"/>
        </w:rPr>
        <w:t>Общи бележки</w:t>
      </w:r>
      <w:bookmarkEnd w:id="159"/>
      <w:bookmarkEnd w:id="160"/>
    </w:p>
    <w:p w14:paraId="2B3D1454" w14:textId="708078C0" w:rsidR="005970B6" w:rsidRPr="002D60D7" w:rsidRDefault="005970B6" w:rsidP="00E172EA">
      <w:pPr>
        <w:pStyle w:val="InstructionsText2"/>
        <w:numPr>
          <w:ilvl w:val="0"/>
          <w:numId w:val="29"/>
        </w:numPr>
        <w:suppressAutoHyphens/>
      </w:pPr>
      <w:r>
        <w:t>В този образец се прави разбивка на стойностите под риск (VaR) и стресираните стойности под риск (sVaR) по различните пазарни рискове (дългови инструменти, капиталови инструменти, валута, стоки) и друга информация, необходима за изчисляването на капиталовите изисквания.</w:t>
      </w:r>
    </w:p>
    <w:p w14:paraId="6141A6DE" w14:textId="106A2D11" w:rsidR="005970B6" w:rsidRDefault="005970B6" w:rsidP="00E172EA">
      <w:pPr>
        <w:pStyle w:val="InstructionsText2"/>
        <w:numPr>
          <w:ilvl w:val="0"/>
          <w:numId w:val="29"/>
        </w:numPr>
        <w:suppressAutoHyphens/>
      </w:pPr>
      <w:r>
        <w:t xml:space="preserve">В общия случай то зависи от структурата на модела на инвестиционните посредници и от това дали стойностите за общ и специфичен риск могат да бъдат определени и докладвани поотделно или само като обща стойност. Същото се отнася за разграничаването на стойностите под риск/стресираните стойности под риск в категориите рискове (лихвен риск, капиталов риск, стоков риск и валутен риск). Дадена институция може да се откаже да докладва тези разграничения, ако докаже, че докладването на такива данни би породило излишно бреме.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895899"/>
      <w:r>
        <w:rPr>
          <w:rFonts w:ascii="Times New Roman" w:hAnsi="Times New Roman"/>
          <w:sz w:val="24"/>
          <w:u w:val="none"/>
        </w:rPr>
        <w:t>8.2.</w:t>
      </w:r>
      <w:r>
        <w:tab/>
      </w:r>
      <w:r>
        <w:rPr>
          <w:rFonts w:ascii="Times New Roman" w:hAnsi="Times New Roman"/>
          <w:sz w:val="24"/>
        </w:rPr>
        <w:t>Указания за конкретни позиции</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Колони</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Стойност под риск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Стойността под риск представлява максималната потенциална загуба в резултат на промяна в цената при дадена вероятност и за определен времеви хоризонт.</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Мултипликационен коефициент (mc), умножен по средната стойност под риск за предходните 60 работни дни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а), подточка ii) и член 365, параграф 1 от Регламент (ЕС) №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Стойност под риск за предходния ден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а), подточка i) и член 365, параграф 1 от Регламент (ЕС) №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Стресирана стойност под риск</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Стресираната стойности под риск представлява максималната потенциална загуба в резултат на промяна в цената при дадена вероятност и за определен времеви хоризонт, получена чрез използване на информация, калибрирана с данни за 12-месечен непрекъснат минал период на финансово напрежение с въздействие върху портфейла на институцията.</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Мултипликационен коефициент (ms), умножен по средната стойност под риск за предходните 60 работни дни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Член 364, параграф 1, буква б), подточка ii) и член 365, параграф 1 от Регламент (ЕС) №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Последна известна стресирана стойност под риск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б), подточка i) и член 365, параграф 1 от Регламент (ЕС) №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ДОПЪЛНИТЕЛЕН РИСК ОТ НЕИЗПЪЛНЕНИЕ И МИГРАЦИОНЕН РИСК</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Капиталово изискване за допълнителен риск от неизпълнение и миграционен риск означава максималната потенциална загуба в резултат на промяна в цената, свързана с риска от неизпълнение и миграционния риск, изчислена в съответствие с член 364, параграф 2, буква б) във връзка с трета част, дял IV, глава 5, раздел 4 от Регламент (ЕС) №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Средна величина за 12 седмици</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ii) във връзка с трета част, дял IV, глава 5, раздел 4 от Регламент (ЕС) №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Последна величина</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 във връзка с трета част, дял IV, глава 5, раздел 4 от Регламент (ЕС) №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 ЗА ВСИЧКИ ЦЕНОВИ РИСКОВЕ ЗА ПОРТФЕЙЛА ЗА КОРЕЛАЦИОННО ТЪРГУВАНЕ</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МИНИМАЛНА СТОЙНОСТ</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Член 364, параграф 3, буква в) от Регламент (ЕС) №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8 % от капиталовите изисквания, които се изчисляват в съответствие с член 338, параграф 1 от Регламент (ЕС) № 575/2013 за всички позиции по отношение на капиталовото изискване за „всички ценови рискове“.</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СРЕДНА ВЕЛИЧИНА ЗА 12 СЕДМИЦИ И ПОСЛЕДНА ВЕЛИЧИНА</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Член 364, параграф 3, буква б) от Регламент (ЕС) №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ПОСЛЕДНА ВЕЛИЧИНА</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Член 364, параграф 3, буква а) от Регламент (ЕС) №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ИЗИСКВАНИЯ</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Капиталовите изисквания, посочени в член 364 от Регламент (ЕС) № 575/2013 за всички рискови коефициенти, като се вземе предвид корелационното въздействие, ако е приложимо, плюс за допълнителния риск от неизпълнение и за миграционния риск, както и за всички ценови рискове при портфейла за корелационно търгуване, но без капиталовите изисквания за секюритизациите и за кредитните деривати за n-то неизпълнение – в съответствие с член 364, параграф 2 от посочения регламент.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РИСКОВАТА ЕКСПОЗИЦИЯ</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Член 92, параграф 6, буква б) от Регламент (ЕС) №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Произведението на капиталовите изисквания и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Брой превишения (през предходните 250 работни дни)</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Посочени в член 366 от Регламент (ЕС) №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Докладва се броят превишения, въз основа на които е определена надбавката. Когато на инвестиционните посредници е разрешено да изключат определени превишения при изчисляването на надбавката в съответствие с член 500в от Регламент (ЕС) № 575/2013, броят на докладваните в тази колона превишения е нетно от изключените превишения.</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Мултипликационен коефициент за стойност под риск (mc) и мултипликационен коефициент за стресирана стойност под риск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Съгласно член 366 от Регламент (ЕС) №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Докладват се мултипликационните коефициенти, приложени на практика за изчисляване на капиталовите изисквания; когато е приложимо, след прилагане на член 500в от Регламент (ЕС) №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ВЪЗПРИЕТИ ИЗИСКВАНИЯ ЗА МИНИМАЛНАТА СТОЙНОСТ НА ПОРТФЕЙЛА ЗА КОРЕЛАЦИОННО ТЪРГУВАНЕ – ПРЕТЕГЛЕНИ НЕТНИ ДЪЛГИ/КЪСИ ПОЗИЦИИ СЛЕД ОГРАНИЧАВАНЕТО</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При докладваните стойности, които служат за основа за изчисляване на минималната стойност на капиталовите изисквания за всички ценови рискове в съответствие с член 364, параграф 3, буква в) от Регламент (ЕС) </w:t>
            </w:r>
            <w:r>
              <w:rPr>
                <w:rFonts w:ascii="Times New Roman" w:hAnsi="Times New Roman"/>
                <w:sz w:val="24"/>
              </w:rPr>
              <w:lastRenderedPageBreak/>
              <w:t xml:space="preserve">№ 575/2013, се взима предвид свободата на преценка по член 335 от същия регламент, където на институцията се позволява да ограничи произведението на теглото и нетната позиция до максималната възможна загуба при реализиране на риска от неизпълнение.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ОБЩО ПОЗИЦИИ</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Представлява частта от позиционния, валутния и стоковия риск по член 363, параграф 1 от Регламент (ЕС) № 575/2013, свързана с рисковите фактори по член 367, параграф 2 от същия регламент.</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По отношение на колони 0030—0060 (стойност под риск и стресирана стойност под риск) данните в реда за общата стойност не са равни на разбивката на данните за стойностите под риск/стресираните стойности под риск на съответните компоненти на риска.</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Представлява частта от позиционния риск по член 363, параграф 1 от Регламент (ЕС) № 575/2013, свързана с факторите на лихвения риск по член 367, параграф 2, буква а) от същия регламент.</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 ОБЩ РИСК</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Компонентът за общ риск съгласно посоченото в член 362 от Регламент (ЕС) №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ТЪРГУВАНИ ДЪЛГОВИ ИНСТРУМЕНТИ — СПЕЦИФИЧЕН РИСК</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Компонентът за специфичен риск съгласно посоченото в член 362 от Регламент (ЕС) №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Представлява частта от позиционния риск по член 363, параграф 1 от Регламент (ЕС) № 575/2013, свързана с факторите на капиталовия риск по член 367, параграф 2, буква в) от същия регламент.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 ОБЩ РИСК</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Компонентът за общ риск съгласно посоченото в член 362 от Регламент (ЕС) №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КАПИТАЛОВИ ИНСТРУМЕНТИ — СПЕЦИФИЧЕН РИСК</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Компонентът за специфичен риск съгласно посоченото в член 362 от Регламент (ЕС) №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ВАЛУТЕН РИСК</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Член 363, параграф 1 и член 367, параграф 2, буква б) от Регламент (ЕС) №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СТОКОВ РИСК</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Член 363, параграф 1 и член 367, параграф 2, буква г) от Регламент (ЕС) №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ОБЩИЯ РИСК</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Пазарният риск, породен от общата динамика на пазара на търгувани дългови инструменти, капиталови инструменти, валута и стоки. Стойността под риск за общ риск на всички рискови фактори (когато е приложимо се взимат предвид корелационните зависимости).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ОБЩ РАЗМЕР НА СПЕЦИФИЧНИЯ РИСК</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Компонентът за специфичен риск при търгуваните дългови инструменти и капиталовите инструменти. Стойността под риск за специфичен риск при капиталовите инструменти и търгуваните дългови инструменти от търговския портфейл (когато е приложимо се взимат предвид корелационните зависимости).</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Делегиран регламент (ЕС) № 525/2014 на Комисията от 12 март 2014 г. за допълване на Регламент (ЕС) № 575/2013 на Европейския парламент и на Съвета с регулаторни технически стандарти за определяне на понятието „пазар“ ( ОВ L 148, 20.5.2014 г., стр.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Регламент за изпълнение (ЕС) № 945/2014 на Комисията от 4 септември 2014 година за определяне, в съответствие с Регламент (ЕС) № 575/2013 на Европейския парламент и на Съвета, на технически стандарти за изпълнение по отношение на приложимите и подходящо диверсифицирани индекси (ОВ L 265, 5.9.2014 г., стр.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Директива 2014/65/ЕС </w:t>
      </w:r>
      <w:bookmarkStart w:id="129" w:name="_Hlk204078738"/>
      <w:r>
        <w:t>на Европейския парламент и на Съвета</w:t>
      </w:r>
      <w:bookmarkEnd w:id="129"/>
      <w:r>
        <w:t xml:space="preserve"> от 15 май 2014 г. относно пазарите на финансови инструменти и за изменение на Директива 2002/92/ЕО и на Директива 2011/61/ЕС (ОВ L 173, 12.6.2014 г., стр.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31AE29C0"/>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0EDE"/>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27F11"/>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63"/>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97D7C"/>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677FB"/>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106"/>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aliases w:val="Title 2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bg-BG"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3.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96</TotalTime>
  <Pages>24</Pages>
  <Words>6756</Words>
  <Characters>38756</Characters>
  <Application>Microsoft Office Word</Application>
  <DocSecurity>0</DocSecurity>
  <Lines>1211</Lines>
  <Paragraphs>650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BAKOS Tamas (DGT)</cp:lastModifiedBy>
  <cp:revision>10</cp:revision>
  <dcterms:created xsi:type="dcterms:W3CDTF">2025-10-06T12:40:00Z</dcterms:created>
  <dcterms:modified xsi:type="dcterms:W3CDTF">2025-10-09T09:28:00Z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